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882800" w14:paraId="34F4C2F8" w14:textId="77777777" w:rsidTr="006B5AE3">
        <w:trPr>
          <w:trHeight w:val="1559"/>
        </w:trPr>
        <w:tc>
          <w:tcPr>
            <w:tcW w:w="4814" w:type="dxa"/>
          </w:tcPr>
          <w:p w14:paraId="5E97FEC3" w14:textId="59248FF0" w:rsidR="00882800" w:rsidRDefault="00882800" w:rsidP="00565BC9">
            <w:pPr>
              <w:keepNext/>
              <w:spacing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4967" w:type="dxa"/>
          </w:tcPr>
          <w:p w14:paraId="08155922" w14:textId="77777777" w:rsidR="00882800" w:rsidRDefault="00882800" w:rsidP="004B7945">
            <w:pPr>
              <w:keepNext/>
              <w:spacing w:line="360" w:lineRule="auto"/>
              <w:ind w:left="325" w:right="-256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bookmarkStart w:id="0" w:name="_GoBack"/>
            <w:r w:rsidRPr="00AC775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ЗАТВЕРДЖЕНО</w:t>
            </w:r>
          </w:p>
          <w:p w14:paraId="36091C1C" w14:textId="50BA6B28" w:rsidR="00882800" w:rsidRPr="00AC775B" w:rsidRDefault="00882800" w:rsidP="004B7945">
            <w:pPr>
              <w:keepNext/>
              <w:ind w:left="325" w:right="-256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AC775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Розпорядження </w:t>
            </w:r>
            <w:r w:rsidR="00740B8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начальника</w:t>
            </w:r>
          </w:p>
          <w:p w14:paraId="16881ED6" w14:textId="0A6B1CC9" w:rsidR="00882800" w:rsidRPr="00AC775B" w:rsidRDefault="00BF2687" w:rsidP="004B7945">
            <w:pPr>
              <w:spacing w:line="360" w:lineRule="auto"/>
              <w:ind w:left="325" w:right="-256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районної</w:t>
            </w:r>
            <w:r w:rsidR="00882800" w:rsidRPr="00AC775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C70A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військової</w:t>
            </w:r>
            <w:r w:rsidR="00882800" w:rsidRPr="00AC775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адміністрації</w:t>
            </w:r>
          </w:p>
          <w:p w14:paraId="7F13C836" w14:textId="36EB22E0" w:rsidR="00882800" w:rsidRDefault="001839EF" w:rsidP="004B7945">
            <w:pPr>
              <w:keepNext/>
              <w:spacing w:line="360" w:lineRule="auto"/>
              <w:ind w:left="325" w:right="-256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21.11.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  <w:r w:rsidR="0088280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565B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  <w:r w:rsidR="00451E4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149</w:t>
            </w:r>
          </w:p>
        </w:tc>
      </w:tr>
    </w:tbl>
    <w:p w14:paraId="2CE8679B" w14:textId="7B49E728" w:rsidR="00AC775B" w:rsidRPr="00101C65" w:rsidRDefault="00AC775B" w:rsidP="00F078DE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ADB7208" w14:textId="77777777" w:rsidR="00AC775B" w:rsidRPr="00AC775B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775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ПЕРЕЛІК </w:t>
      </w:r>
    </w:p>
    <w:p w14:paraId="7FB29D1B" w14:textId="77777777" w:rsidR="003B7A3E" w:rsidRDefault="003B7A3E" w:rsidP="003B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539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відомостей, що містять службову інформацію, </w:t>
      </w:r>
    </w:p>
    <w:p w14:paraId="02420CEC" w14:textId="77777777" w:rsidR="00565BC9" w:rsidRDefault="003B7A3E" w:rsidP="003B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 тому числі з</w:t>
      </w:r>
      <w:r w:rsidRPr="008539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гриф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Pr="008539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обмеження доступу </w:t>
      </w:r>
    </w:p>
    <w:p w14:paraId="3AF673CE" w14:textId="77777777" w:rsidR="003B7A3E" w:rsidRPr="0085399D" w:rsidRDefault="003B7A3E" w:rsidP="003B7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539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«Для службового користування»</w:t>
      </w:r>
    </w:p>
    <w:p w14:paraId="1BC576EA" w14:textId="77777777" w:rsidR="00AC775B" w:rsidRPr="002355FF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FA7A8" w14:textId="77777777" w:rsidR="00AC775B" w:rsidRPr="00021C07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РОЗДІЛ І</w:t>
      </w:r>
    </w:p>
    <w:p w14:paraId="337F97CC" w14:textId="77777777" w:rsidR="00AC775B" w:rsidRPr="00021C07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Відомості, що містяться у внутрішньовідомчих службових документах</w:t>
      </w:r>
    </w:p>
    <w:p w14:paraId="40EF36B1" w14:textId="77777777" w:rsidR="00AC775B" w:rsidRPr="002355FF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11F184" w14:textId="13E52FBB" w:rsidR="00AC775B" w:rsidRPr="00021C07" w:rsidRDefault="00AC775B" w:rsidP="00031AD1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Інформаці</w:t>
      </w:r>
      <w:r w:rsidR="00BF268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я, що міститься в документах районної</w:t>
      </w:r>
      <w:r w:rsidR="00565BC9"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держ</w:t>
      </w:r>
      <w:r w:rsidR="00565BC9"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авної </w:t>
      </w: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адміністрації, які становлять внутрішньовідомчу службову кореспонденцію, доповідні записки, рекомендації, якщо вони пов’язані з розробленням напряму діяльності установи або здійсненням контрольних функцій органами державної влади, процесом прийняття рішень і передують публічному обговоренню та/або прийняттю рішень, у разі, якщо відомості, що містяться в ній, відповідають сукупності вимог частини </w:t>
      </w:r>
      <w:r w:rsidR="003B7A3E"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другої</w:t>
      </w: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статті 6 Закону України «Про доступ до публічної інформації».</w:t>
      </w:r>
    </w:p>
    <w:p w14:paraId="024AF3E9" w14:textId="77777777" w:rsidR="00EC2720" w:rsidRPr="002355FF" w:rsidRDefault="00EC2720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C1A6880" w14:textId="7C2A6AAA" w:rsidR="00AC775B" w:rsidRPr="00021C07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РОЗДІЛ ІІ</w:t>
      </w:r>
    </w:p>
    <w:p w14:paraId="5C27BD15" w14:textId="77777777" w:rsidR="00565BC9" w:rsidRPr="00021C07" w:rsidRDefault="0099704E" w:rsidP="00997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Зміст відомостей з питань мобілізаційної підготовки </w:t>
      </w:r>
    </w:p>
    <w:p w14:paraId="7B8DAC83" w14:textId="77777777" w:rsidR="0099704E" w:rsidRPr="00021C07" w:rsidRDefault="0099704E" w:rsidP="00997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національної економіки, які містять службову інформацію</w:t>
      </w:r>
    </w:p>
    <w:p w14:paraId="05200E49" w14:textId="77777777" w:rsidR="0099704E" w:rsidRPr="002355FF" w:rsidRDefault="0099704E" w:rsidP="009970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uk-UA" w:eastAsia="ru-RU"/>
        </w:rPr>
      </w:pPr>
    </w:p>
    <w:p w14:paraId="39D0C130" w14:textId="6F1470D6" w:rsidR="0099704E" w:rsidRPr="00021C07" w:rsidRDefault="0099704E" w:rsidP="003B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35"/>
      <w:bookmarkEnd w:id="1"/>
      <w:r w:rsidRPr="00021C0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74A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Про заходи мобілізаційної підготовки, мобілізаційного плану органів державної влади, інших державних органів, органів місцевого самоврядування, підприємств, установ, організацій усіх форм власності щодо: </w:t>
      </w:r>
    </w:p>
    <w:p w14:paraId="189030E5" w14:textId="77777777" w:rsidR="0099704E" w:rsidRPr="00021C07" w:rsidRDefault="00237E8A" w:rsidP="003B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36"/>
      <w:bookmarkEnd w:id="2"/>
      <w:r w:rsidRPr="00021C07">
        <w:rPr>
          <w:rFonts w:ascii="Times New Roman" w:hAnsi="Times New Roman" w:cs="Times New Roman"/>
          <w:sz w:val="28"/>
          <w:szCs w:val="28"/>
          <w:lang w:val="uk-UA"/>
        </w:rPr>
        <w:t>1)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створення, розвитку, утримання, передачі, ліквідації, реалізації та фінансування мобілізаційних потужностей; </w:t>
      </w:r>
    </w:p>
    <w:p w14:paraId="6EB08E97" w14:textId="096479A0" w:rsidR="0099704E" w:rsidRPr="00021C07" w:rsidRDefault="00237E8A" w:rsidP="00565B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37"/>
      <w:bookmarkEnd w:id="3"/>
      <w:r w:rsidRPr="00021C07">
        <w:rPr>
          <w:rFonts w:ascii="Times New Roman" w:hAnsi="Times New Roman" w:cs="Times New Roman"/>
          <w:sz w:val="28"/>
          <w:szCs w:val="28"/>
          <w:lang w:val="uk-UA"/>
        </w:rPr>
        <w:t>2)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та поставки технічних засобів </w:t>
      </w:r>
      <w:r w:rsidR="00F74A9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 майна речової служби в особливий період; </w:t>
      </w:r>
    </w:p>
    <w:p w14:paraId="065B290D" w14:textId="77777777" w:rsidR="0099704E" w:rsidRPr="00021C07" w:rsidRDefault="00237E8A" w:rsidP="003B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o38"/>
      <w:bookmarkEnd w:id="4"/>
      <w:r w:rsidRPr="00021C07">
        <w:rPr>
          <w:rFonts w:ascii="Times New Roman" w:hAnsi="Times New Roman" w:cs="Times New Roman"/>
          <w:sz w:val="28"/>
          <w:szCs w:val="28"/>
          <w:lang w:val="uk-UA"/>
        </w:rPr>
        <w:t>3)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виробництва, закупівлі та поставки продовольства, сільськогосподарської продукції в особливий період; </w:t>
      </w:r>
    </w:p>
    <w:p w14:paraId="7242844D" w14:textId="4D1C276C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o39"/>
      <w:bookmarkEnd w:id="5"/>
      <w:r w:rsidRPr="00021C07">
        <w:rPr>
          <w:rFonts w:ascii="Times New Roman" w:hAnsi="Times New Roman" w:cs="Times New Roman"/>
          <w:sz w:val="28"/>
          <w:szCs w:val="28"/>
          <w:lang w:val="uk-UA"/>
        </w:rPr>
        <w:t>4)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та поставки лікарських засобів </w:t>
      </w:r>
      <w:r w:rsidR="00020A5F" w:rsidRPr="00021C0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D61493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 медичного </w:t>
      </w:r>
      <w:r w:rsidR="00020A5F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майна 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 особливий період; </w:t>
      </w:r>
    </w:p>
    <w:p w14:paraId="7CDA8118" w14:textId="77777777" w:rsidR="0099704E" w:rsidRPr="00021C07" w:rsidRDefault="00237E8A" w:rsidP="003B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40"/>
      <w:bookmarkEnd w:id="6"/>
      <w:r w:rsidRPr="00021C07">
        <w:rPr>
          <w:rFonts w:ascii="Times New Roman" w:hAnsi="Times New Roman" w:cs="Times New Roman"/>
          <w:sz w:val="28"/>
          <w:szCs w:val="28"/>
          <w:lang w:val="uk-UA"/>
        </w:rPr>
        <w:t>5)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та поставки пально-мастильних матеріалів в особливий період; </w:t>
      </w:r>
    </w:p>
    <w:p w14:paraId="65977120" w14:textId="77777777" w:rsidR="0099704E" w:rsidRPr="00021C07" w:rsidRDefault="00237E8A" w:rsidP="003B7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o41"/>
      <w:bookmarkEnd w:id="7"/>
      <w:r w:rsidRPr="00021C07">
        <w:rPr>
          <w:rFonts w:ascii="Times New Roman" w:hAnsi="Times New Roman" w:cs="Times New Roman"/>
          <w:sz w:val="28"/>
          <w:szCs w:val="28"/>
          <w:lang w:val="uk-UA"/>
        </w:rPr>
        <w:t>6)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мобілізаційних завдань із замовлення на виробництво продукції, виконання робіт, надання послуг в особливий період; </w:t>
      </w:r>
    </w:p>
    <w:p w14:paraId="7DDBB8C1" w14:textId="407A4FEB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o42"/>
      <w:bookmarkEnd w:id="8"/>
      <w:r w:rsidRPr="00021C07">
        <w:rPr>
          <w:rFonts w:ascii="Times New Roman" w:hAnsi="Times New Roman" w:cs="Times New Roman"/>
          <w:sz w:val="28"/>
          <w:szCs w:val="28"/>
          <w:lang w:val="uk-UA"/>
        </w:rPr>
        <w:t>7)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автотранспортної, дорожньо-будівельної, підіймально-транспортної техніки, повітряних, морських та річкових суден, залізничного 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рухомого складу, які підлягають передачі до складу Збройних сил України в місцевому органі виконавчої влади, органі місцевого самоврядування; </w:t>
      </w:r>
    </w:p>
    <w:p w14:paraId="714BC609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o43"/>
      <w:bookmarkEnd w:id="9"/>
      <w:r w:rsidRPr="00021C07">
        <w:rPr>
          <w:rFonts w:ascii="Times New Roman" w:hAnsi="Times New Roman" w:cs="Times New Roman"/>
          <w:sz w:val="28"/>
          <w:szCs w:val="28"/>
          <w:lang w:val="uk-UA"/>
        </w:rPr>
        <w:t>8)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виконавців мобілізаційних завдань матеріально-технічними, сировинними та енергетичними ресурсами в особливий період; </w:t>
      </w:r>
    </w:p>
    <w:p w14:paraId="02F94647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o44"/>
      <w:bookmarkEnd w:id="10"/>
      <w:r w:rsidRPr="00021C07">
        <w:rPr>
          <w:rFonts w:ascii="Times New Roman" w:hAnsi="Times New Roman" w:cs="Times New Roman"/>
          <w:sz w:val="28"/>
          <w:szCs w:val="28"/>
          <w:lang w:val="uk-UA"/>
        </w:rPr>
        <w:t>9)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ветеринарного майна та технічних засобів ветеринарної медицини в особливий період; </w:t>
      </w:r>
    </w:p>
    <w:p w14:paraId="3009C0C6" w14:textId="3AFE51E6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o45"/>
      <w:bookmarkEnd w:id="11"/>
      <w:r w:rsidRPr="00021C07">
        <w:rPr>
          <w:rFonts w:ascii="Times New Roman" w:hAnsi="Times New Roman" w:cs="Times New Roman"/>
          <w:sz w:val="28"/>
          <w:szCs w:val="28"/>
          <w:lang w:val="uk-UA"/>
        </w:rPr>
        <w:t>10)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та накопичення нестандартного обладнання </w:t>
      </w:r>
      <w:r w:rsidR="00F74A96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 устаткування на особливий період; </w:t>
      </w:r>
    </w:p>
    <w:p w14:paraId="01354181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" w:name="o46"/>
      <w:bookmarkEnd w:id="12"/>
      <w:r w:rsidRPr="00021C07">
        <w:rPr>
          <w:rFonts w:ascii="Times New Roman" w:hAnsi="Times New Roman" w:cs="Times New Roman"/>
          <w:sz w:val="28"/>
          <w:szCs w:val="28"/>
          <w:lang w:val="uk-UA"/>
        </w:rPr>
        <w:t>11)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показників із праці та кадрів, джерел забезпечення кадрами потреб галузей національної економіки на особливий період; </w:t>
      </w:r>
    </w:p>
    <w:p w14:paraId="731EA69C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o47"/>
      <w:bookmarkEnd w:id="13"/>
      <w:r w:rsidRPr="00021C07">
        <w:rPr>
          <w:rFonts w:ascii="Times New Roman" w:hAnsi="Times New Roman" w:cs="Times New Roman"/>
          <w:sz w:val="28"/>
          <w:szCs w:val="28"/>
          <w:lang w:val="uk-UA"/>
        </w:rPr>
        <w:t>12)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фахівців у закладах освіти на особливий період; </w:t>
      </w:r>
    </w:p>
    <w:p w14:paraId="79EAAA14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4" w:name="o48"/>
      <w:bookmarkEnd w:id="14"/>
      <w:r w:rsidRPr="00021C07">
        <w:rPr>
          <w:rFonts w:ascii="Times New Roman" w:hAnsi="Times New Roman" w:cs="Times New Roman"/>
          <w:sz w:val="28"/>
          <w:szCs w:val="28"/>
          <w:lang w:val="uk-UA"/>
        </w:rPr>
        <w:t>13)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надання медичних, транспортних, поштових, телекомунікаційних, житлово-комунальних, побутових, ремонтних та інших послуг в особливий період; </w:t>
      </w:r>
    </w:p>
    <w:p w14:paraId="3A8BACF0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o49"/>
      <w:bookmarkEnd w:id="15"/>
      <w:r w:rsidRPr="00021C07">
        <w:rPr>
          <w:rFonts w:ascii="Times New Roman" w:hAnsi="Times New Roman" w:cs="Times New Roman"/>
          <w:sz w:val="28"/>
          <w:szCs w:val="28"/>
          <w:lang w:val="uk-UA"/>
        </w:rPr>
        <w:t>14)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найважливішої цивільної промислової продукції в особливий період; </w:t>
      </w:r>
    </w:p>
    <w:p w14:paraId="1B764DC7" w14:textId="00DB9C65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" w:name="o50"/>
      <w:bookmarkEnd w:id="16"/>
      <w:r w:rsidRPr="00021C07">
        <w:rPr>
          <w:rFonts w:ascii="Times New Roman" w:hAnsi="Times New Roman" w:cs="Times New Roman"/>
          <w:sz w:val="28"/>
          <w:szCs w:val="28"/>
          <w:lang w:val="uk-UA"/>
        </w:rPr>
        <w:t>15)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>номенклатури, обсягів (норм), місць зберігання матеріальних цінностей мобілізаційного резерву в центральному або місцевому органі виконавчої влади, Раді міністрів Автономної Республіки Крим, на підприємстві, в установі, організації;</w:t>
      </w:r>
    </w:p>
    <w:p w14:paraId="249295EC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o52"/>
      <w:bookmarkEnd w:id="17"/>
      <w:r w:rsidRPr="00021C07">
        <w:rPr>
          <w:rFonts w:ascii="Times New Roman" w:hAnsi="Times New Roman" w:cs="Times New Roman"/>
          <w:sz w:val="28"/>
          <w:szCs w:val="28"/>
          <w:lang w:val="uk-UA"/>
        </w:rPr>
        <w:t>16)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капітального будівництва в особливий період; </w:t>
      </w:r>
    </w:p>
    <w:p w14:paraId="268E5547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8" w:name="o53"/>
      <w:bookmarkEnd w:id="18"/>
      <w:r w:rsidRPr="00021C07">
        <w:rPr>
          <w:rFonts w:ascii="Times New Roman" w:hAnsi="Times New Roman" w:cs="Times New Roman"/>
          <w:sz w:val="28"/>
          <w:szCs w:val="28"/>
          <w:lang w:val="uk-UA"/>
        </w:rPr>
        <w:t>17)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страхового фонду документації для забезпечення виробництва продукції, виконання робіт, надання послуг в особливий період; </w:t>
      </w:r>
    </w:p>
    <w:p w14:paraId="3D6A56C4" w14:textId="77777777" w:rsidR="0099704E" w:rsidRPr="00021C07" w:rsidRDefault="00237E8A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" w:name="o54"/>
      <w:bookmarkEnd w:id="19"/>
      <w:r w:rsidRPr="00021C07">
        <w:rPr>
          <w:rFonts w:ascii="Times New Roman" w:hAnsi="Times New Roman" w:cs="Times New Roman"/>
          <w:sz w:val="28"/>
          <w:szCs w:val="28"/>
          <w:lang w:val="uk-UA"/>
        </w:rPr>
        <w:t>18) </w:t>
      </w:r>
      <w:r w:rsidR="0099704E"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потреби сільського господарства в хімічних і мікробіологічних засобах захисту рослин, мінеральних добривах в особливий період. </w:t>
      </w:r>
    </w:p>
    <w:p w14:paraId="338F6C1B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33058D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" w:name="o55"/>
      <w:bookmarkEnd w:id="20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2. Відомості про методичні матеріали з питань мобілізаційної підготовки національної економіки. </w:t>
      </w:r>
    </w:p>
    <w:p w14:paraId="6068BF79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66936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" w:name="o56"/>
      <w:bookmarkEnd w:id="21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3. Відомості про виконання законів, інших нормативно-правових актів з питань мобілізаційної підготовки національної економіки. </w:t>
      </w:r>
    </w:p>
    <w:p w14:paraId="187F17CF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115D9" w14:textId="040B864B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" w:name="o57"/>
      <w:bookmarkEnd w:id="22"/>
      <w:r w:rsidRPr="00021C07">
        <w:rPr>
          <w:rFonts w:ascii="Times New Roman" w:hAnsi="Times New Roman" w:cs="Times New Roman"/>
          <w:sz w:val="28"/>
          <w:szCs w:val="28"/>
          <w:lang w:val="uk-UA"/>
        </w:rPr>
        <w:t>4. Відомості про військовозобов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>язаних, заброньованих за центральними та місцевими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14:paraId="307001C5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00B789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o59"/>
      <w:bookmarkEnd w:id="23"/>
      <w:r w:rsidRPr="00021C07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>Відомості про заходи, передбачені для забезпечення сталого функціонування місцевих органів виконавчої влади, органів місцевого самоврядування, а також підприємств, установ, організацій.</w:t>
      </w:r>
    </w:p>
    <w:p w14:paraId="3A8DDBDC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85FA2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o60"/>
      <w:bookmarkStart w:id="25" w:name="o61"/>
      <w:bookmarkEnd w:id="24"/>
      <w:bookmarkEnd w:id="25"/>
      <w:r w:rsidRPr="00021C0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>Відомості про стан мобілізаційної готовності підприємств, установ, організацій.</w:t>
      </w:r>
    </w:p>
    <w:p w14:paraId="60B9CC73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548B2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o62"/>
      <w:bookmarkStart w:id="27" w:name="o63"/>
      <w:bookmarkEnd w:id="26"/>
      <w:bookmarkEnd w:id="27"/>
      <w:r w:rsidRPr="00021C07">
        <w:rPr>
          <w:rFonts w:ascii="Times New Roman" w:hAnsi="Times New Roman" w:cs="Times New Roman"/>
          <w:sz w:val="28"/>
          <w:szCs w:val="28"/>
          <w:lang w:val="uk-UA"/>
        </w:rPr>
        <w:lastRenderedPageBreak/>
        <w:t>7.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організацію та порядок роботи курсів підвищення кваліфікації фахівців центральних та місцевих органів виконавчої влади з питань мобілізаційної підготовки. </w:t>
      </w:r>
    </w:p>
    <w:p w14:paraId="4122A43D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038E40" w14:textId="77777777" w:rsidR="0099704E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o64"/>
      <w:bookmarkEnd w:id="28"/>
      <w:r w:rsidRPr="00021C07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в особливий період. </w:t>
      </w:r>
    </w:p>
    <w:p w14:paraId="03EF78D1" w14:textId="77777777" w:rsidR="00F74A96" w:rsidRPr="002355FF" w:rsidRDefault="00F74A96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B8057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o65"/>
      <w:bookmarkEnd w:id="29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9. Відомості, які містяться в експлуатаційній документації на програмні засоби та комплексну систему захисту інформації в автоматизованих системах із питань мобілізаційної підготовки національної економіки. </w:t>
      </w:r>
    </w:p>
    <w:p w14:paraId="5E676B76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927040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0" w:name="o66"/>
      <w:bookmarkEnd w:id="30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10. Відомості про функціонування єдиної транспортної системи України в особливий період у частині, що стосується районної державної адміністрації, органу місцевого самоврядування, окремого підприємства. </w:t>
      </w:r>
    </w:p>
    <w:p w14:paraId="4CE90DAF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BEC286" w14:textId="5A9811BB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" w:name="o67"/>
      <w:bookmarkEnd w:id="31"/>
      <w:r w:rsidRPr="00021C07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020A5F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заходи мобілізаційної підготовки та мобілізаційного плану районної державної адміністрації, органу місцевого самоврядування, підприємства, установи, організації. </w:t>
      </w:r>
    </w:p>
    <w:p w14:paraId="68396140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54B488" w14:textId="14FA91DE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o68"/>
      <w:bookmarkEnd w:id="32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12. Відомості про виробничі потужності, обсяги, технологію виробництва матеріалів, які передбачається використовувати для виготовлення озброєння, військової техніки, спеціальних комплектувальних виробів до них у цілому щодо підприємства, установи, організації. </w:t>
      </w:r>
    </w:p>
    <w:p w14:paraId="589EAEE7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8CA87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" w:name="o69"/>
      <w:bookmarkEnd w:id="33"/>
      <w:r w:rsidRPr="00021C07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C834EE" w:rsidRPr="00021C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заходи мобілізаційної підготовки та мобілізаційного плану органу державної влади, іншого державного органу, органу місцевого самоврядування, підприємства, установи, організації щодо життєзабезпечення населення в особливий період. </w:t>
      </w:r>
    </w:p>
    <w:p w14:paraId="186E8B7D" w14:textId="77777777" w:rsidR="00565BC9" w:rsidRPr="002355FF" w:rsidRDefault="00565BC9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EA0A35" w14:textId="21E491E9" w:rsidR="0099704E" w:rsidRPr="00021C07" w:rsidRDefault="0099704E" w:rsidP="00277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o70"/>
      <w:bookmarkEnd w:id="34"/>
      <w:r w:rsidRPr="00021C07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F74A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організацію оповіщення, управління і зв'язку, порядок переведення органу державної влади, іншого державного органу, органу місцевого самоврядування, підприємства, установи, організації на режим роботи в умовах особливого періоду. </w:t>
      </w:r>
    </w:p>
    <w:p w14:paraId="24967E41" w14:textId="77777777" w:rsidR="002017AE" w:rsidRPr="002355FF" w:rsidRDefault="002017AE" w:rsidP="00277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7645C7" w14:textId="714C7A95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o72"/>
      <w:bookmarkEnd w:id="35"/>
      <w:r w:rsidRPr="00021C07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F74A9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Відомості про довгострокові та річні програми мобілізаційної підготовки місцевого органу виконавчої влади, органу місцевого самоврядування, окремого підприємства, установи, організації. </w:t>
      </w:r>
    </w:p>
    <w:p w14:paraId="205FA5AF" w14:textId="77777777" w:rsidR="002017AE" w:rsidRPr="002355FF" w:rsidRDefault="002017A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3DB81" w14:textId="77777777" w:rsidR="0099704E" w:rsidRPr="00021C07" w:rsidRDefault="0099704E" w:rsidP="00B53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" w:name="o73"/>
      <w:bookmarkEnd w:id="36"/>
      <w:r w:rsidRPr="00021C07">
        <w:rPr>
          <w:rFonts w:ascii="Times New Roman" w:hAnsi="Times New Roman" w:cs="Times New Roman"/>
          <w:sz w:val="28"/>
          <w:szCs w:val="28"/>
          <w:lang w:val="uk-UA"/>
        </w:rPr>
        <w:t xml:space="preserve">16. Відомості про потребу в асигнуваннях та фактичні фінансові витрати на мобілізаційну підготовку місцевого органу виконавчої влади, органу місцевого самоврядування, підприємства, установи, організації. </w:t>
      </w:r>
    </w:p>
    <w:p w14:paraId="61E8AECA" w14:textId="77777777" w:rsidR="00AC775B" w:rsidRPr="00F74A96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6866DCD" w14:textId="77777777" w:rsidR="00AC775B" w:rsidRPr="00021C07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РОЗДІЛ ІІІ</w:t>
      </w:r>
    </w:p>
    <w:p w14:paraId="5E2F12F5" w14:textId="77777777" w:rsidR="00AC775B" w:rsidRPr="00021C07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Організація та забезпечення режиму секретності</w:t>
      </w:r>
    </w:p>
    <w:p w14:paraId="4EF737C4" w14:textId="77777777" w:rsidR="00AC775B" w:rsidRPr="002355FF" w:rsidRDefault="00AC775B" w:rsidP="00AC7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34549" w14:textId="186878B6" w:rsidR="000D7B33" w:rsidRPr="001F78FB" w:rsidRDefault="000D7B33" w:rsidP="002355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1C07">
        <w:rPr>
          <w:sz w:val="28"/>
          <w:szCs w:val="28"/>
        </w:rPr>
        <w:t>1.</w:t>
      </w:r>
      <w:r w:rsidR="00622770" w:rsidRPr="00021C07">
        <w:rPr>
          <w:sz w:val="28"/>
          <w:szCs w:val="28"/>
        </w:rPr>
        <w:t> </w:t>
      </w:r>
      <w:r w:rsidRPr="00021C07">
        <w:rPr>
          <w:sz w:val="28"/>
          <w:szCs w:val="28"/>
        </w:rPr>
        <w:t xml:space="preserve">Відомості про планування заходів з охорони державної таємниці </w:t>
      </w:r>
      <w:r w:rsidR="005D63D4" w:rsidRPr="001F78FB">
        <w:rPr>
          <w:sz w:val="28"/>
          <w:szCs w:val="28"/>
        </w:rPr>
        <w:t>щодо апарату районної</w:t>
      </w:r>
      <w:r w:rsidRPr="001F78FB">
        <w:rPr>
          <w:sz w:val="28"/>
          <w:szCs w:val="28"/>
        </w:rPr>
        <w:t xml:space="preserve"> державної адміністрації.</w:t>
      </w:r>
      <w:bookmarkStart w:id="37" w:name="n629"/>
      <w:bookmarkStart w:id="38" w:name="n646"/>
      <w:bookmarkEnd w:id="37"/>
      <w:bookmarkEnd w:id="38"/>
    </w:p>
    <w:p w14:paraId="0F7925F5" w14:textId="77777777" w:rsidR="000D7B33" w:rsidRPr="002355FF" w:rsidRDefault="000D7B33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39" w:name="n647"/>
      <w:bookmarkEnd w:id="39"/>
    </w:p>
    <w:p w14:paraId="09DB5ADE" w14:textId="3C1400E2" w:rsidR="00031AD1" w:rsidRDefault="00F90AB6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7B33" w:rsidRPr="00021C07">
        <w:rPr>
          <w:sz w:val="28"/>
          <w:szCs w:val="28"/>
        </w:rPr>
        <w:t>.</w:t>
      </w:r>
      <w:r w:rsidR="00740B88" w:rsidRPr="00021C07">
        <w:rPr>
          <w:sz w:val="28"/>
          <w:szCs w:val="28"/>
        </w:rPr>
        <w:t> </w:t>
      </w:r>
      <w:r w:rsidR="00031AD1">
        <w:rPr>
          <w:sz w:val="28"/>
          <w:szCs w:val="28"/>
        </w:rPr>
        <w:t>Відомості про втрату матеріальних носіїв інформації, які містять службову інформацію та яким присвоєно гриф обмеження доступу «Для службового користування».</w:t>
      </w:r>
    </w:p>
    <w:p w14:paraId="6672A1AF" w14:textId="50253799" w:rsidR="00031AD1" w:rsidRPr="002355FF" w:rsidRDefault="00031AD1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3ED2BC81" w14:textId="695244EB" w:rsidR="00031AD1" w:rsidRDefault="00031AD1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Відомості за сукупністю всіх складових показників про вимоги (рекомендації) щодо забезпечення технічного захисту конфіденційної та службової інформації, що циркулює на конкретному об’єкті інформаційної діяльності </w:t>
      </w:r>
      <w:r w:rsidR="0032469F">
        <w:rPr>
          <w:sz w:val="28"/>
          <w:szCs w:val="28"/>
        </w:rPr>
        <w:t>або обробляється в конкретній інформаційній (автоматизованій), телекомунікаційній чи інформаційно-телекомунікаційній системі.</w:t>
      </w:r>
    </w:p>
    <w:p w14:paraId="28D94F21" w14:textId="77777777" w:rsidR="00031AD1" w:rsidRPr="002355FF" w:rsidRDefault="00031AD1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6031B808" w14:textId="75AA74DD" w:rsidR="000D7B33" w:rsidRPr="00021C07" w:rsidRDefault="0032469F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7B33" w:rsidRPr="00021C07">
        <w:rPr>
          <w:sz w:val="28"/>
          <w:szCs w:val="28"/>
        </w:rPr>
        <w:t>Відомості про планування, організацію запровадження заходів, фактичний стан, наявність недоліків з технічного захисту інформації щодо окремого об'єкта інформаційної діяльності, інформаційної (автоматизованої), телекомунікаційної, інформаційно-телекомунікаційної системи, де циркулює службова інформація.</w:t>
      </w:r>
    </w:p>
    <w:p w14:paraId="066E2AA1" w14:textId="77777777" w:rsidR="000D7B33" w:rsidRPr="002355FF" w:rsidRDefault="000D7B33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40" w:name="n648"/>
      <w:bookmarkStart w:id="41" w:name="n649"/>
      <w:bookmarkEnd w:id="40"/>
      <w:bookmarkEnd w:id="41"/>
    </w:p>
    <w:p w14:paraId="6E6DF8F9" w14:textId="44A8F530" w:rsidR="000D7B33" w:rsidRPr="00021C07" w:rsidRDefault="0032469F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7B33" w:rsidRPr="00021C07">
        <w:rPr>
          <w:sz w:val="28"/>
          <w:szCs w:val="28"/>
        </w:rPr>
        <w:t>.</w:t>
      </w:r>
      <w:r w:rsidR="00622770" w:rsidRPr="00021C07">
        <w:rPr>
          <w:sz w:val="28"/>
          <w:szCs w:val="28"/>
        </w:rPr>
        <w:t> </w:t>
      </w:r>
      <w:r w:rsidR="000D7B33" w:rsidRPr="00021C07">
        <w:rPr>
          <w:sz w:val="28"/>
          <w:szCs w:val="28"/>
        </w:rPr>
        <w:t xml:space="preserve">Відомості </w:t>
      </w:r>
      <w:r w:rsidR="00021C07" w:rsidRPr="00021C07">
        <w:rPr>
          <w:sz w:val="28"/>
          <w:szCs w:val="28"/>
        </w:rPr>
        <w:t>пр</w:t>
      </w:r>
      <w:r w:rsidR="000D7B33" w:rsidRPr="00021C07">
        <w:rPr>
          <w:sz w:val="28"/>
          <w:szCs w:val="28"/>
        </w:rPr>
        <w:t>о окрем</w:t>
      </w:r>
      <w:r w:rsidR="00021C07" w:rsidRPr="00021C07">
        <w:rPr>
          <w:sz w:val="28"/>
          <w:szCs w:val="28"/>
        </w:rPr>
        <w:t>і</w:t>
      </w:r>
      <w:r w:rsidR="000D7B33" w:rsidRPr="00021C07">
        <w:rPr>
          <w:sz w:val="28"/>
          <w:szCs w:val="28"/>
        </w:rPr>
        <w:t xml:space="preserve"> показник</w:t>
      </w:r>
      <w:r w:rsidR="00021C07" w:rsidRPr="00021C07">
        <w:rPr>
          <w:sz w:val="28"/>
          <w:szCs w:val="28"/>
        </w:rPr>
        <w:t>и</w:t>
      </w:r>
      <w:r w:rsidR="000D7B33" w:rsidRPr="00021C07">
        <w:rPr>
          <w:sz w:val="28"/>
          <w:szCs w:val="28"/>
        </w:rPr>
        <w:t xml:space="preserve"> розміщення, побудови об'єктів інформаційної діяльності, в яких циркулює інформація з обмеженим доступом (витяги з моделі загроз, ситуаційний та генеральний плани, схеми розміщення та прокладки кабельних ліній, зміст заходів </w:t>
      </w:r>
      <w:r w:rsidR="00021C07" w:rsidRPr="00021C07">
        <w:rPr>
          <w:sz w:val="28"/>
          <w:szCs w:val="28"/>
        </w:rPr>
        <w:t>і</w:t>
      </w:r>
      <w:r w:rsidR="000D7B33" w:rsidRPr="00021C07">
        <w:rPr>
          <w:sz w:val="28"/>
          <w:szCs w:val="28"/>
        </w:rPr>
        <w:t xml:space="preserve"> склад засобів технічного захисту інформації тощо).</w:t>
      </w:r>
    </w:p>
    <w:p w14:paraId="29289697" w14:textId="77777777" w:rsidR="000D7B33" w:rsidRPr="002355FF" w:rsidRDefault="000D7B33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42" w:name="n650"/>
      <w:bookmarkEnd w:id="42"/>
    </w:p>
    <w:p w14:paraId="0BF56225" w14:textId="03DFAA59" w:rsidR="000D7B33" w:rsidRPr="00021C07" w:rsidRDefault="0032469F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7B33" w:rsidRPr="00021C07">
        <w:rPr>
          <w:sz w:val="28"/>
          <w:szCs w:val="28"/>
        </w:rPr>
        <w:t>. Відомості про технічні засоби, на яких здійснюється обробка інформації з обмеженим доступом, порядок їх охорони та евакуації.</w:t>
      </w:r>
    </w:p>
    <w:p w14:paraId="6A3EB34D" w14:textId="77777777" w:rsidR="000D7B33" w:rsidRPr="002355FF" w:rsidRDefault="000D7B33" w:rsidP="00740B88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43" w:name="n651"/>
      <w:bookmarkStart w:id="44" w:name="n654"/>
      <w:bookmarkStart w:id="45" w:name="n663"/>
      <w:bookmarkEnd w:id="43"/>
      <w:bookmarkEnd w:id="44"/>
      <w:bookmarkEnd w:id="45"/>
    </w:p>
    <w:p w14:paraId="5F36779C" w14:textId="340621AF" w:rsidR="00AC775B" w:rsidRDefault="0032469F" w:rsidP="002355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7B33" w:rsidRPr="00021C07">
        <w:rPr>
          <w:sz w:val="28"/>
          <w:szCs w:val="28"/>
        </w:rPr>
        <w:t>. Відомості про конкретні заходи щодо захисту інформації з обмеженим доступом під час прийому іноземних делегацій, груп та окремих іноземців, якщо вони розкривають можливі канали витоку секретної інформації.</w:t>
      </w:r>
      <w:bookmarkStart w:id="46" w:name="n664"/>
      <w:bookmarkEnd w:id="46"/>
    </w:p>
    <w:p w14:paraId="6A46FB22" w14:textId="77777777" w:rsidR="002355FF" w:rsidRPr="002355FF" w:rsidRDefault="002355FF" w:rsidP="002355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7978D7D" w14:textId="099E8B6F" w:rsidR="00AC775B" w:rsidRPr="00021C07" w:rsidRDefault="00AC775B" w:rsidP="00AC77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</w:p>
    <w:p w14:paraId="7142E4BD" w14:textId="12483793" w:rsidR="00AC775B" w:rsidRPr="00021C07" w:rsidRDefault="00AC775B" w:rsidP="00AC775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з питань технічного захисту інформації</w:t>
      </w:r>
      <w:r w:rsidR="008F4EA9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обмеженим доступом</w:t>
      </w:r>
    </w:p>
    <w:p w14:paraId="51B955CA" w14:textId="77777777" w:rsidR="008F4EA9" w:rsidRPr="002355FF" w:rsidRDefault="008F4EA9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63029BB" w14:textId="3BE56C07" w:rsidR="00AC775B" w:rsidRPr="00021C07" w:rsidRDefault="00AA244A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Відомості про технічний захист </w:t>
      </w:r>
      <w:r w:rsidR="002017AE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інформації з обмеженим доступом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щодо:</w:t>
      </w:r>
    </w:p>
    <w:p w14:paraId="00BD9559" w14:textId="77777777" w:rsidR="00AC775B" w:rsidRPr="00021C07" w:rsidRDefault="00DB6F4E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 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категоріювання приміщень та об’єктів інформаційної діяльності, інформаційно-телекомунікаційних систем і копіювально-розмножувальної техніки;</w:t>
      </w:r>
    </w:p>
    <w:p w14:paraId="04172378" w14:textId="77777777" w:rsidR="00AC775B" w:rsidRPr="00021C07" w:rsidRDefault="00DB6F4E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 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експлуатації автоматизованих систем для обробки інформації </w:t>
      </w:r>
      <w:r w:rsidR="00AC775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обмеженим доступом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6B8658D" w14:textId="77777777" w:rsidR="00AC775B" w:rsidRPr="00021C07" w:rsidRDefault="00DB6F4E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 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вимірювань комплексних систем захисту інформації автоматизованих систем для обробки інформації з обмеженим доступом;</w:t>
      </w:r>
    </w:p>
    <w:p w14:paraId="6B1C7E9C" w14:textId="77777777" w:rsidR="00AC775B" w:rsidRPr="00021C07" w:rsidRDefault="00DB6F4E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4) </w:t>
      </w:r>
      <w:r w:rsidR="00AC775B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експертних висновків комплексної системи захисту інформації в автоматизованих системах класу 1, 2.</w:t>
      </w:r>
    </w:p>
    <w:p w14:paraId="3F3223EF" w14:textId="77777777" w:rsidR="002017AE" w:rsidRPr="002355FF" w:rsidRDefault="002017AE" w:rsidP="003B7A3E">
      <w:pPr>
        <w:tabs>
          <w:tab w:val="left" w:pos="6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1995E38" w14:textId="1EFCDC13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Відомості </w:t>
      </w:r>
      <w:r w:rsid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забезпечення урядовим зв’язком абонентів </w:t>
      </w:r>
      <w:r w:rsidR="00BF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районної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адміністрації.</w:t>
      </w:r>
    </w:p>
    <w:p w14:paraId="63A7AAD4" w14:textId="77777777" w:rsidR="00353E2C" w:rsidRPr="002355FF" w:rsidRDefault="00353E2C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4D7D13" w14:textId="0F0047A9" w:rsidR="00353E2C" w:rsidRDefault="00353E2C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Відомості про планування, організацію запровадження заходів, фактичний стан, наявність недоліків з організації захисту інформації щодо окремого об’єкта інформаційної діяльност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інформаційної, електронної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комунікаційної, інформаційно</w:t>
      </w:r>
      <w:r w:rsidR="00BF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-комунікаційної системи районної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державної адміністрації, де циркулює (або передбачен</w:t>
      </w:r>
      <w:r w:rsidR="0008070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циркуляці</w:t>
      </w:r>
      <w:r w:rsidR="0008070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інформація</w:t>
      </w:r>
      <w:r w:rsidR="0008070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вимога щодо захисту якої встановлена законодавством, крім тих, що становлять</w:t>
      </w:r>
      <w:r w:rsidR="00F40F3B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державну таємницю. Рекомендації щодо приведення стану захисту інформації на зазначених об’єктах і системах у відповідність </w:t>
      </w:r>
      <w:r w:rsidR="00E95180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вимог</w:t>
      </w:r>
      <w:r w:rsidR="00F40F3B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законодавства, крім тих, що</w:t>
      </w:r>
      <w:r w:rsidR="006A58A2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F3B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становлять державну таємницю.</w:t>
      </w:r>
    </w:p>
    <w:p w14:paraId="52E00FEA" w14:textId="77777777" w:rsidR="00F74A96" w:rsidRPr="002355FF" w:rsidRDefault="00F74A96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5AB84C" w14:textId="13CED1FC" w:rsidR="00F40F3B" w:rsidRPr="00E95180" w:rsidRDefault="00F40F3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Відомості </w:t>
      </w:r>
      <w:r w:rsidR="00E95180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паролі доступу користувачів до інформаційних, електронних комунікаційних та інформаційно-комунікаційних систем, в яких циркулює інформація з обмеженим доступом, що експлуатуються  в </w:t>
      </w:r>
      <w:r w:rsidR="00BF2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районній</w:t>
      </w: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державній адміністрації.</w:t>
      </w:r>
    </w:p>
    <w:p w14:paraId="73C04E60" w14:textId="77777777" w:rsidR="00AC775B" w:rsidRPr="00F74A96" w:rsidRDefault="00AC775B" w:rsidP="00C83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8BB662" w14:textId="77777777" w:rsidR="00AC775B" w:rsidRPr="00021C07" w:rsidRDefault="00AC775B" w:rsidP="00C834EE">
      <w:pPr>
        <w:shd w:val="clear" w:color="auto" w:fill="FFFFFF"/>
        <w:tabs>
          <w:tab w:val="left" w:pos="720"/>
        </w:tabs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 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</w:p>
    <w:p w14:paraId="6FEF4977" w14:textId="4539E8F8" w:rsidR="00AC775B" w:rsidRPr="00021C07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Питання надзвичайних ситуацій та</w:t>
      </w:r>
      <w:r w:rsidR="00165132" w:rsidRPr="00021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21C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цивільного захисту населення</w:t>
      </w:r>
    </w:p>
    <w:p w14:paraId="49E24EBE" w14:textId="77777777" w:rsidR="00AC775B" w:rsidRPr="002355FF" w:rsidRDefault="00AC775B" w:rsidP="00AC7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9F6F470" w14:textId="18E68005" w:rsidR="00423AA0" w:rsidRPr="00E95180" w:rsidRDefault="00423AA0" w:rsidP="00F825A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180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1.</w:t>
      </w:r>
      <w:r w:rsidR="00165132" w:rsidRPr="00E95180">
        <w:rPr>
          <w:rFonts w:ascii="Times New Roman CYR" w:eastAsia="Times New Roman" w:hAnsi="Times New Roman CYR" w:cs="Times New Roman"/>
          <w:sz w:val="28"/>
          <w:szCs w:val="28"/>
          <w:lang w:val="uk-UA" w:eastAsia="ru-RU"/>
        </w:rPr>
        <w:t> </w:t>
      </w: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Відомості про організацію оповіщення, управління і зв'язку, порядок переведення органу державної влади, іншого державного органу, органу місцевого самоврядування, підприємства, установи, організації на режим роботи в умовах особливого періоду, крім тих, що становлять державну таємницю.</w:t>
      </w:r>
    </w:p>
    <w:p w14:paraId="297B7F6B" w14:textId="77777777" w:rsidR="00165132" w:rsidRPr="002355FF" w:rsidRDefault="00165132" w:rsidP="00F825A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0C3E49" w14:textId="5DCA0054" w:rsidR="00423AA0" w:rsidRPr="00E95180" w:rsidRDefault="00423AA0" w:rsidP="00F825A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Відомості про заходи цивільного захисту на особливий період районів, міст, районів у містах, підприємств, установ, організацій.</w:t>
      </w:r>
    </w:p>
    <w:p w14:paraId="39E11759" w14:textId="77777777" w:rsidR="00165132" w:rsidRPr="002355FF" w:rsidRDefault="00165132" w:rsidP="00F825A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BE48F1" w14:textId="3A0AD789" w:rsidR="00423AA0" w:rsidRPr="00E95180" w:rsidRDefault="00423AA0" w:rsidP="00F825A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Відомості про інженерно-технічні заходи цивільного захисту особливого періоду, що плануються (реалізовані) </w:t>
      </w:r>
      <w:r w:rsidR="00E95180"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генеральних планах забудови населених пунктів та відповідних адміністративно-територіальних одиниць.</w:t>
      </w:r>
    </w:p>
    <w:p w14:paraId="1D78D62A" w14:textId="77777777" w:rsidR="00165132" w:rsidRPr="002355FF" w:rsidRDefault="00165132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0117E6" w14:textId="0B497E24" w:rsidR="00423AA0" w:rsidRPr="00E9518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Відомості про порядок, критерії та правила віднесення міст та суб’єктів господарювання до відповідних груп та категорій з цивільного захисту.</w:t>
      </w:r>
    </w:p>
    <w:p w14:paraId="492DCC9D" w14:textId="77777777" w:rsidR="00165132" w:rsidRPr="002355FF" w:rsidRDefault="00165132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1FE9DF0" w14:textId="3FBCCDBE" w:rsidR="00423AA0" w:rsidRPr="00E9518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="00D01561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Відомості про заходи з евакуації населення, матеріальних та культурних цінностей в особливий період.</w:t>
      </w:r>
    </w:p>
    <w:p w14:paraId="53EEE94D" w14:textId="77777777" w:rsidR="00165132" w:rsidRPr="002355FF" w:rsidRDefault="00165132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FDA952" w14:textId="05119537" w:rsidR="00423AA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6. Відомості </w:t>
      </w:r>
      <w:r w:rsidR="00E95180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 стан готовності територіальної підсистеми ЄДСЦЗ або її ланки до вирішення завдань цивільного захисту в особливий період.</w:t>
      </w:r>
    </w:p>
    <w:p w14:paraId="3746514F" w14:textId="77777777" w:rsidR="00B65C28" w:rsidRPr="002355FF" w:rsidRDefault="00B65C28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155A446" w14:textId="371D5A0D" w:rsidR="00423AA0" w:rsidRPr="00E9518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7</w:t>
      </w:r>
      <w:r w:rsidR="00D01561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="00165132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 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Відомості </w:t>
      </w:r>
      <w:r w:rsidR="00E95180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 організаці</w:t>
      </w:r>
      <w:r w:rsidR="00E95180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ю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медичного забезпечення населення в особливий період.</w:t>
      </w:r>
    </w:p>
    <w:p w14:paraId="4558B223" w14:textId="77777777" w:rsidR="00165132" w:rsidRPr="002355FF" w:rsidRDefault="00165132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D8C0A6F" w14:textId="5EDC5293" w:rsidR="00423AA0" w:rsidRPr="00E9518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8</w:t>
      </w:r>
      <w:r w:rsidR="00D01561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Відомості про дислокацію, характеристики запасних пунктів управління, обсяги матеріально-технічних засобів, продовольства, систему їх охорони та захисту органу державної влади, іншого державного органу, органів місцевого самоврядування, крім тих, що становлять державну таємницю.</w:t>
      </w:r>
    </w:p>
    <w:p w14:paraId="596FD47E" w14:textId="77777777" w:rsidR="00165132" w:rsidRPr="002355FF" w:rsidRDefault="00165132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795205" w14:textId="76B6AF4B" w:rsidR="00423AA0" w:rsidRPr="00E95180" w:rsidRDefault="00423AA0" w:rsidP="00F825A6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="00D01561"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  <w:r w:rsidRPr="00E9518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Переліки міст та зведені переліки суб'єктів господарювання Автономної Республіки Крим, областей, міст Києва та Севастополя, віднесених до відповідних груп та категорій цивільного захисту (за сукупністю показників).</w:t>
      </w:r>
    </w:p>
    <w:p w14:paraId="232E5423" w14:textId="77777777" w:rsidR="00165132" w:rsidRPr="002355FF" w:rsidRDefault="00165132" w:rsidP="00F825A6">
      <w:pPr>
        <w:widowControl w:val="0"/>
        <w:tabs>
          <w:tab w:val="left" w:pos="9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94C2983" w14:textId="3237D68B" w:rsidR="00423AA0" w:rsidRPr="00E95180" w:rsidRDefault="00423AA0" w:rsidP="00F825A6">
      <w:pPr>
        <w:widowControl w:val="0"/>
        <w:tabs>
          <w:tab w:val="left" w:pos="9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D01561"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E95180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Відомості про участь у заходах з антитерористичної діяльності, які не підпадають під дію Зводу відомостей, що становлять державну таємницю.</w:t>
      </w:r>
    </w:p>
    <w:p w14:paraId="1A957FB7" w14:textId="77777777" w:rsidR="00165132" w:rsidRPr="002355FF" w:rsidRDefault="00165132" w:rsidP="00F82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E15A11" w14:textId="0F298F9D" w:rsidR="00423AA0" w:rsidRPr="00E95180" w:rsidRDefault="00D01561" w:rsidP="00F825A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11. </w:t>
      </w:r>
      <w:r w:rsidR="00423AA0"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Основні показники </w:t>
      </w:r>
      <w:r w:rsidR="00D61493"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стану</w:t>
      </w:r>
      <w:r w:rsidR="00423AA0" w:rsidRPr="00E95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цивільного захисту району, міста, селища, села, суб’єкта господарювання за формою, визначеною Табелем термінових та строкових донесень з питань цивільного захисту, які не підпадають під дію Зводу відомостей, що становлять державну таємницю.</w:t>
      </w:r>
    </w:p>
    <w:p w14:paraId="2E85C900" w14:textId="77777777" w:rsidR="00AC775B" w:rsidRPr="00F74A96" w:rsidRDefault="00AC775B" w:rsidP="00AC7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CD83E" w14:textId="77777777" w:rsidR="00AC775B" w:rsidRPr="00021C07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РОЗДІЛ</w:t>
      </w:r>
      <w:r w:rsidRPr="00021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21C0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</w:t>
      </w:r>
    </w:p>
    <w:p w14:paraId="1980BB29" w14:textId="77777777" w:rsidR="00AC775B" w:rsidRPr="00021C07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Питання територіальної оборони</w:t>
      </w:r>
    </w:p>
    <w:p w14:paraId="7A98D84D" w14:textId="77777777" w:rsidR="00AC775B" w:rsidRPr="002355FF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AEFBF4" w14:textId="56914D48" w:rsidR="00AC775B" w:rsidRPr="00021C07" w:rsidRDefault="00AC775B" w:rsidP="003B7A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 Узагальнені відомості за окремими показниками про зміст у цілому щодо планів територіальної оборони (далі </w:t>
      </w:r>
      <w:r w:rsidR="002017AE" w:rsidRPr="0002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–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ТрО) районів ТрО, які не підпадають під дію </w:t>
      </w:r>
      <w:r w:rsidR="00F5363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наказу Служби безпеки України від 23.12.2020 № 383 «Про затвердження Зводу відомостей, що становлять державну таємницю»</w:t>
      </w:r>
      <w:r w:rsidR="000B0B9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</w:t>
      </w:r>
      <w:r w:rsid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  <w:r w:rsidR="00F5363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далі – </w:t>
      </w:r>
      <w:bookmarkStart w:id="47" w:name="_Hlk144893195"/>
      <w:r w:rsidR="00F5363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ЗВДТ</w:t>
      </w:r>
      <w:bookmarkEnd w:id="47"/>
      <w:r w:rsidR="00F5363B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узагальнені відомості за окремими показниками про зміст у цілому інших позапланових заходів ТрО в зоні ТрО.</w:t>
      </w:r>
    </w:p>
    <w:p w14:paraId="5804B4C1" w14:textId="77777777" w:rsidR="002017AE" w:rsidRPr="002355FF" w:rsidRDefault="002017AE" w:rsidP="003B7A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14:paraId="47972648" w14:textId="041BA147" w:rsidR="00AC775B" w:rsidRPr="00021C07" w:rsidRDefault="00AC775B" w:rsidP="003B7A3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2. </w:t>
      </w:r>
      <w:r w:rsidR="006B1C01" w:rsidRPr="006B1C01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Узагальнені відомості за окремими показниками про зміст документів щодо планів застосування, здійснення управління, порядку взаємодії, про заходи комплектування, місця розгортання і злагодження створюваних у зоні (районах) ТрО підрозділів для виконання завдань ТрО (управління окремої бригади ТрО, окремих батальйонів ТрО, окремого стрілецького батальйону, рот охорони), а також стану їх готовності до виконання завдань за призначенням, які не підпадають під дію </w:t>
      </w:r>
      <w:r w:rsidR="006B1C01" w:rsidRPr="006B1C0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ЗВДТ</w:t>
      </w:r>
      <w:r w:rsidR="006B1C0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E2D492D" w14:textId="0F1B296B" w:rsidR="006B1C01" w:rsidRPr="00021C07" w:rsidRDefault="006B1C01" w:rsidP="00476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darkGray"/>
          <w:lang w:val="uk-UA" w:eastAsia="ru-RU"/>
        </w:rPr>
      </w:pPr>
    </w:p>
    <w:p w14:paraId="45E1E51D" w14:textId="208B3720" w:rsidR="00476065" w:rsidRPr="00DE0E90" w:rsidRDefault="00476065" w:rsidP="004760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 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</w:p>
    <w:p w14:paraId="5330316A" w14:textId="0950D073" w:rsidR="00E82976" w:rsidRPr="00DE0E90" w:rsidRDefault="00476065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Діяльність у сфері захисту </w:t>
      </w:r>
      <w:r w:rsidR="000D3D05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критичної інфраструктури</w:t>
      </w:r>
      <w:r w:rsidR="00F5363B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7BFBAF7" w14:textId="77777777" w:rsidR="00AA244A" w:rsidRPr="002355FF" w:rsidRDefault="00AA244A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65848EA9" w14:textId="1DBA79A2" w:rsidR="00AA244A" w:rsidRPr="006C40EA" w:rsidRDefault="00AA244A" w:rsidP="006C40E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</w:t>
      </w:r>
      <w:r w:rsidR="000D3D05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Відомості про об’єкти критичної інфраструктури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ОКІ)</w:t>
      </w:r>
      <w:r w:rsidR="000D3D05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622770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</w:t>
      </w:r>
      <w:r w:rsidR="000D3D05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містяться у </w:t>
      </w:r>
      <w:r w:rsidR="00F5363B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ЗВДТ </w:t>
      </w:r>
      <w:r w:rsidR="00326DC3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секторальних переліках </w:t>
      </w:r>
      <w:r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</w:t>
      </w:r>
      <w:r w:rsidR="00BC15E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узагальнені відомості про </w:t>
      </w:r>
      <w:r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</w:t>
      </w:r>
      <w:r w:rsidR="00BC15E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65C2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BC15E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тому числі відомості, внесені до Реєстру об’єктів критичної інфраструктури</w:t>
      </w:r>
      <w:r w:rsidR="00622770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BC15E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не підпадають під дію ЗВДТ.</w:t>
      </w:r>
    </w:p>
    <w:p w14:paraId="0CC256D6" w14:textId="00B07F24" w:rsidR="00BC15EA" w:rsidRDefault="00BC15EA" w:rsidP="00BC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 Відомості </w:t>
      </w:r>
      <w:r w:rsidR="00D41046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системи управління</w:t>
      </w:r>
      <w:r w:rsidR="00472A7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зв’язку, засоби захисту, фізичну безпеку, охорону, кібербезпеку, фактичний стан захисту </w:t>
      </w:r>
      <w:r w:rsidR="001E796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</w:t>
      </w:r>
      <w:r w:rsidR="00472A7A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оцінку стану їх захищеності та проєктні загрози критичній інфраструктурі і їх перегляд, що не підпадають під дію ЗВДТ.</w:t>
      </w:r>
    </w:p>
    <w:p w14:paraId="62AD83AE" w14:textId="77777777" w:rsidR="00B65C28" w:rsidRPr="002355FF" w:rsidRDefault="00B65C28" w:rsidP="00BC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45BC89F1" w14:textId="234FA008" w:rsidR="00472A7A" w:rsidRPr="00DE0E90" w:rsidRDefault="00472A7A" w:rsidP="00BC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Відомості, </w:t>
      </w:r>
      <w:r w:rsidR="00622770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містять пропозиції </w:t>
      </w:r>
      <w:r w:rsid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удосконалення системи захисту </w:t>
      </w:r>
      <w:r w:rsidR="001E796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ОКІ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підготовлені за результатами моніторингу оцінки стану захищеності, що не підпадають під дію ЗВДТ.</w:t>
      </w:r>
    </w:p>
    <w:p w14:paraId="12E71D99" w14:textId="77777777" w:rsidR="001E7960" w:rsidRPr="002355FF" w:rsidRDefault="001E7960" w:rsidP="00BC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65ED0FA" w14:textId="657A2689" w:rsidR="00472A7A" w:rsidRPr="00DE0E90" w:rsidRDefault="00472A7A" w:rsidP="00BC1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 Відомості, що містяться у паспорті безпеки об’єкт</w:t>
      </w:r>
      <w:r w:rsid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критичної інфраструктури.</w:t>
      </w:r>
    </w:p>
    <w:p w14:paraId="721E932C" w14:textId="77777777" w:rsidR="00F5363B" w:rsidRPr="00F14688" w:rsidRDefault="00F5363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0F5CD0" w14:textId="60C49F42" w:rsidR="00AC775B" w:rsidRPr="00021C07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Розділ 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</w:t>
      </w:r>
      <w:r w:rsidR="00E82976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</w:p>
    <w:p w14:paraId="3768536E" w14:textId="77777777" w:rsidR="00AC775B" w:rsidRPr="00021C07" w:rsidRDefault="00AC775B" w:rsidP="00C834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Інші відомості</w:t>
      </w:r>
    </w:p>
    <w:p w14:paraId="385581D2" w14:textId="77777777" w:rsidR="00AC775B" w:rsidRPr="002355FF" w:rsidRDefault="00AC775B" w:rsidP="00AC77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ru-RU"/>
        </w:rPr>
      </w:pPr>
    </w:p>
    <w:p w14:paraId="43622D7B" w14:textId="0DBEF3F1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 Відомості про фактичні обсяги запасів, місця розташування поверхневих або підземних резервних джерел водозабезпечення за сукупністю всіх показників у цілому щодо районних державних адміністрацій, орган</w:t>
      </w:r>
      <w:r w:rsid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місцевого самоврядування.</w:t>
      </w:r>
    </w:p>
    <w:p w14:paraId="28779982" w14:textId="77777777" w:rsidR="006B5AE3" w:rsidRPr="002355FF" w:rsidRDefault="006B5AE3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F48D131" w14:textId="77777777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 Відомості, що розкривають схеми та джерела водозабезпечення, заходи їх охорони у містах з населенням понад 10 тис. осіб, крім відомостей, що становлять державну таємницю.</w:t>
      </w:r>
    </w:p>
    <w:p w14:paraId="778E0AC8" w14:textId="77777777" w:rsidR="006B5AE3" w:rsidRPr="002355FF" w:rsidRDefault="006B5AE3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F408D86" w14:textId="77777777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 Координати об’єктів джерел комунального водозабезпечення в місцях водозабору.</w:t>
      </w:r>
    </w:p>
    <w:p w14:paraId="0A8212B1" w14:textId="77777777" w:rsidR="006B5AE3" w:rsidRPr="002355FF" w:rsidRDefault="006B5AE3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B13CEF1" w14:textId="725EF8C3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Відомості про фактичні о</w:t>
      </w:r>
      <w:r w:rsidR="00021C07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бсяги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запасів, місця розташування поверхневих або підземних резервних джерел водозабезпечення у районах та містах з населенням 100</w:t>
      </w:r>
      <w:r w:rsidR="001E7960"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021C0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тис. осіб та більше, якщо такі відомості не становлять державну таємницю. </w:t>
      </w:r>
    </w:p>
    <w:p w14:paraId="01F6C7B3" w14:textId="77777777" w:rsidR="006B5AE3" w:rsidRPr="002355FF" w:rsidRDefault="006B5AE3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357D0D3" w14:textId="77777777" w:rsidR="00AC775B" w:rsidRPr="00021C07" w:rsidRDefault="00AC775B" w:rsidP="003B7A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Установчі документи релігійних організацій Волинської області.</w:t>
      </w:r>
    </w:p>
    <w:p w14:paraId="0AF334B4" w14:textId="77777777" w:rsidR="006B5AE3" w:rsidRPr="002355FF" w:rsidRDefault="006B5AE3" w:rsidP="003B7A3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39A626" w14:textId="79821CB8" w:rsidR="00AC775B" w:rsidRPr="00021C07" w:rsidRDefault="00AC775B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Фондові справи державних органів, органів місцевого самоврядування, підприємств, установ і організацій, які зберігаються в архіві, матеріальним носіям яких установою</w:t>
      </w:r>
      <w:r w:rsidR="001E7960"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021C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укладачем присвоєно гриф «Для службового користування».</w:t>
      </w:r>
    </w:p>
    <w:p w14:paraId="51A7C197" w14:textId="77777777" w:rsidR="006B5AE3" w:rsidRPr="002355FF" w:rsidRDefault="006B5AE3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BBAAA21" w14:textId="54F53951" w:rsidR="003B7A3E" w:rsidRPr="00DE0E90" w:rsidRDefault="003B7A3E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 Відомості </w:t>
      </w:r>
      <w:r w:rsidR="00DE0E9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</w:t>
      </w:r>
      <w:r w:rsidR="00472A7A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нерухом</w:t>
      </w:r>
      <w:r w:rsidR="00DE0E9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72A7A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</w:t>
      </w:r>
      <w:r w:rsidR="00DE0E9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72A7A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</w:t>
      </w:r>
      <w:r w:rsidR="00DE0E9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472A7A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передан</w:t>
      </w:r>
      <w:r w:rsidR="00DE0E9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472A7A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оренду</w:t>
      </w:r>
      <w:r w:rsidR="000A6197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суб’єктам сектору безпеки і оборони, розголошення яких може становити</w:t>
      </w:r>
      <w:r w:rsidR="001E796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загрозу національній безпеці України</w:t>
      </w:r>
      <w:r w:rsidR="00A11AD1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крім відомостей, що підпадають під дію</w:t>
      </w:r>
      <w:r w:rsidR="001E7960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1AD1" w:rsidRPr="00DE0E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ЗВДТ.</w:t>
      </w:r>
      <w:r w:rsidR="00A11AD1"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4BC113A" w14:textId="77777777" w:rsidR="00303B6E" w:rsidRPr="00F14688" w:rsidRDefault="00303B6E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BB47A9" w14:textId="0D6D9997" w:rsidR="00303B6E" w:rsidRPr="00DE0E90" w:rsidRDefault="00303B6E" w:rsidP="0030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Розділ ІХ</w:t>
      </w:r>
    </w:p>
    <w:p w14:paraId="34B181E7" w14:textId="382DAE78" w:rsidR="00303B6E" w:rsidRPr="006C40EA" w:rsidRDefault="00303B6E" w:rsidP="006C4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Відомості з окремих питань, </w:t>
      </w:r>
      <w:r w:rsidR="00F5363B"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що</w:t>
      </w: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вирішуються у період дії воєнного стану</w:t>
      </w:r>
    </w:p>
    <w:p w14:paraId="4F38B349" w14:textId="355C50C3" w:rsidR="00303B6E" w:rsidRDefault="00303B6E" w:rsidP="0030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1. </w:t>
      </w:r>
      <w:r w:rsidR="00B65C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становлена військовим командуванням спеціальна нумерація тимчасових блокпостів, розгорнут</w:t>
      </w:r>
      <w:r w:rsidR="00F5363B"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</w:t>
      </w:r>
      <w:r w:rsidR="00F90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районі, в цілому за район</w:t>
      </w: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319310D9" w14:textId="77777777" w:rsidR="000237F3" w:rsidRPr="000237F3" w:rsidRDefault="000237F3" w:rsidP="0030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4D42CB37" w14:textId="04B74745" w:rsidR="00303B6E" w:rsidRDefault="00303B6E" w:rsidP="0030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2. Конкретизовані адреси тимчасового розташування військових частин та підрозділів, передислокован</w:t>
      </w:r>
      <w:r w:rsidR="00F5363B"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их</w:t>
      </w:r>
      <w:r w:rsidR="00F90A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район</w:t>
      </w:r>
      <w:r w:rsidRPr="00DE0E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виконання завдань командування. </w:t>
      </w:r>
    </w:p>
    <w:p w14:paraId="0635CD14" w14:textId="77777777" w:rsidR="000237F3" w:rsidRDefault="000237F3" w:rsidP="0030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14:paraId="2C2BD681" w14:textId="7C36649F" w:rsidR="0085595E" w:rsidRPr="0085595E" w:rsidRDefault="0085595E" w:rsidP="00303B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451E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 </w:t>
      </w:r>
      <w:r w:rsidRPr="0085595E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В умовах воєнного чи надзвичайного стану перелік відомостей складається з урахуванням тимчасових обмежень конституційних прав людини і громадянина, прав і законних інтересів юридичних осіб, встановлених Указом Президента України про введення воєнного чи надзвичайного стану в Україні, затвердженим Верховною Радою України.</w:t>
      </w:r>
    </w:p>
    <w:p w14:paraId="01177574" w14:textId="77777777" w:rsidR="00303B6E" w:rsidRPr="002355FF" w:rsidRDefault="00303B6E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2AFD5C" w14:textId="77777777" w:rsidR="00F14688" w:rsidRPr="002355FF" w:rsidRDefault="00F14688" w:rsidP="003B7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CCBD2BD" w14:textId="1DBA1887" w:rsidR="00284276" w:rsidRPr="002355FF" w:rsidRDefault="00C834EE" w:rsidP="00235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</w:t>
      </w:r>
    </w:p>
    <w:sectPr w:rsidR="00284276" w:rsidRPr="002355FF" w:rsidSect="00031AD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37234" w14:textId="77777777" w:rsidR="00134DFD" w:rsidRDefault="00134DFD" w:rsidP="0099704E">
      <w:pPr>
        <w:spacing w:after="0" w:line="240" w:lineRule="auto"/>
      </w:pPr>
      <w:r>
        <w:separator/>
      </w:r>
    </w:p>
  </w:endnote>
  <w:endnote w:type="continuationSeparator" w:id="0">
    <w:p w14:paraId="52D09CFB" w14:textId="77777777" w:rsidR="00134DFD" w:rsidRDefault="00134DFD" w:rsidP="0099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E5A7B" w14:textId="77777777" w:rsidR="00134DFD" w:rsidRDefault="00134DFD" w:rsidP="0099704E">
      <w:pPr>
        <w:spacing w:after="0" w:line="240" w:lineRule="auto"/>
      </w:pPr>
      <w:r>
        <w:separator/>
      </w:r>
    </w:p>
  </w:footnote>
  <w:footnote w:type="continuationSeparator" w:id="0">
    <w:p w14:paraId="33FB4B7E" w14:textId="77777777" w:rsidR="00134DFD" w:rsidRDefault="00134DFD" w:rsidP="0099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22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C840CD" w14:textId="2052E10C" w:rsidR="00FF5A70" w:rsidRDefault="00FF5A70" w:rsidP="00FF5A70">
        <w:pPr>
          <w:pStyle w:val="a5"/>
          <w:tabs>
            <w:tab w:val="center" w:pos="4819"/>
            <w:tab w:val="left" w:pos="5295"/>
          </w:tabs>
          <w:rPr>
            <w:rFonts w:ascii="Times New Roman" w:hAnsi="Times New Roman" w:cs="Times New Roman"/>
            <w:sz w:val="24"/>
            <w:szCs w:val="24"/>
          </w:rPr>
        </w:pPr>
        <w:r>
          <w:tab/>
        </w:r>
        <w:r>
          <w:tab/>
        </w:r>
        <w:r w:rsidR="0099704E" w:rsidRPr="009970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704E" w:rsidRPr="009970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9704E" w:rsidRPr="009970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794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="0099704E" w:rsidRPr="0099704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ab/>
        </w:r>
      </w:p>
      <w:p w14:paraId="776ABFE0" w14:textId="77777777" w:rsidR="0099704E" w:rsidRPr="0099704E" w:rsidRDefault="006B5AE3" w:rsidP="00FF5A70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uk-UA"/>
          </w:rPr>
          <w:t>П</w:t>
        </w:r>
        <w:r w:rsidR="00FF5A70">
          <w:rPr>
            <w:rFonts w:ascii="Times New Roman" w:hAnsi="Times New Roman" w:cs="Times New Roman"/>
            <w:sz w:val="24"/>
            <w:szCs w:val="24"/>
            <w:lang w:val="uk-UA"/>
          </w:rPr>
          <w:t>родовження Переліку</w:t>
        </w:r>
      </w:p>
    </w:sdtContent>
  </w:sdt>
  <w:p w14:paraId="554FF88C" w14:textId="77777777" w:rsidR="0099704E" w:rsidRPr="00FF5A70" w:rsidRDefault="0099704E">
    <w:pPr>
      <w:pStyle w:val="a5"/>
      <w:rPr>
        <w:rFonts w:ascii="Times New Roman" w:hAnsi="Times New Roman" w:cs="Times New Roman"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77"/>
    <w:multiLevelType w:val="hybridMultilevel"/>
    <w:tmpl w:val="2FA0861E"/>
    <w:lvl w:ilvl="0" w:tplc="1AF48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261B9"/>
    <w:multiLevelType w:val="multilevel"/>
    <w:tmpl w:val="826E40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10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80" w:hanging="1440"/>
      </w:pPr>
      <w:rPr>
        <w:rFonts w:hint="default"/>
        <w:color w:val="000000"/>
      </w:rPr>
    </w:lvl>
  </w:abstractNum>
  <w:abstractNum w:abstractNumId="2" w15:restartNumberingAfterBreak="0">
    <w:nsid w:val="17CD5490"/>
    <w:multiLevelType w:val="hybridMultilevel"/>
    <w:tmpl w:val="C3E0EA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64A9"/>
    <w:multiLevelType w:val="hybridMultilevel"/>
    <w:tmpl w:val="72023F76"/>
    <w:lvl w:ilvl="0" w:tplc="11ECF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74643C"/>
    <w:multiLevelType w:val="hybridMultilevel"/>
    <w:tmpl w:val="60C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E128D"/>
    <w:multiLevelType w:val="hybridMultilevel"/>
    <w:tmpl w:val="0AC6A2CE"/>
    <w:lvl w:ilvl="0" w:tplc="53EAC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202A0B"/>
    <w:multiLevelType w:val="hybridMultilevel"/>
    <w:tmpl w:val="38D813A4"/>
    <w:lvl w:ilvl="0" w:tplc="37063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F9"/>
    <w:rsid w:val="00020A5F"/>
    <w:rsid w:val="00021C07"/>
    <w:rsid w:val="000237F3"/>
    <w:rsid w:val="00031AD1"/>
    <w:rsid w:val="00080702"/>
    <w:rsid w:val="000A6197"/>
    <w:rsid w:val="000B0B9B"/>
    <w:rsid w:val="000D3D05"/>
    <w:rsid w:val="000D5DB3"/>
    <w:rsid w:val="000D6EFB"/>
    <w:rsid w:val="000D7B33"/>
    <w:rsid w:val="000E11FB"/>
    <w:rsid w:val="00101C65"/>
    <w:rsid w:val="00122C45"/>
    <w:rsid w:val="001318EC"/>
    <w:rsid w:val="00134DFD"/>
    <w:rsid w:val="00165132"/>
    <w:rsid w:val="0018066E"/>
    <w:rsid w:val="00181E6F"/>
    <w:rsid w:val="001839EF"/>
    <w:rsid w:val="001E7960"/>
    <w:rsid w:val="001F78FB"/>
    <w:rsid w:val="002017AE"/>
    <w:rsid w:val="002328FF"/>
    <w:rsid w:val="002355FF"/>
    <w:rsid w:val="00237E8A"/>
    <w:rsid w:val="00254E8F"/>
    <w:rsid w:val="00277E96"/>
    <w:rsid w:val="00284276"/>
    <w:rsid w:val="002D37F9"/>
    <w:rsid w:val="002E0496"/>
    <w:rsid w:val="00303B6E"/>
    <w:rsid w:val="0032469F"/>
    <w:rsid w:val="00326DC3"/>
    <w:rsid w:val="00353E2C"/>
    <w:rsid w:val="003965E0"/>
    <w:rsid w:val="003B3723"/>
    <w:rsid w:val="003B7A3E"/>
    <w:rsid w:val="00423AA0"/>
    <w:rsid w:val="00451E4B"/>
    <w:rsid w:val="004544D9"/>
    <w:rsid w:val="00472A7A"/>
    <w:rsid w:val="00476065"/>
    <w:rsid w:val="004B7945"/>
    <w:rsid w:val="0050170D"/>
    <w:rsid w:val="00565BC9"/>
    <w:rsid w:val="005B560E"/>
    <w:rsid w:val="005B5ACA"/>
    <w:rsid w:val="005D2365"/>
    <w:rsid w:val="005D63D4"/>
    <w:rsid w:val="005F2A50"/>
    <w:rsid w:val="00622770"/>
    <w:rsid w:val="006A58A2"/>
    <w:rsid w:val="006B1C01"/>
    <w:rsid w:val="006B5AE3"/>
    <w:rsid w:val="006C40EA"/>
    <w:rsid w:val="00740B88"/>
    <w:rsid w:val="007A046D"/>
    <w:rsid w:val="007E3006"/>
    <w:rsid w:val="008105ED"/>
    <w:rsid w:val="00836DA3"/>
    <w:rsid w:val="0085595E"/>
    <w:rsid w:val="00882800"/>
    <w:rsid w:val="008A2F1D"/>
    <w:rsid w:val="008E1011"/>
    <w:rsid w:val="008F4EA9"/>
    <w:rsid w:val="00936A40"/>
    <w:rsid w:val="00961B00"/>
    <w:rsid w:val="0099704E"/>
    <w:rsid w:val="009C5C49"/>
    <w:rsid w:val="00A11AD1"/>
    <w:rsid w:val="00A30EBE"/>
    <w:rsid w:val="00A66255"/>
    <w:rsid w:val="00AA244A"/>
    <w:rsid w:val="00AB07E6"/>
    <w:rsid w:val="00AC775B"/>
    <w:rsid w:val="00B10701"/>
    <w:rsid w:val="00B41681"/>
    <w:rsid w:val="00B53F21"/>
    <w:rsid w:val="00B557A3"/>
    <w:rsid w:val="00B65C28"/>
    <w:rsid w:val="00B87197"/>
    <w:rsid w:val="00BB1A09"/>
    <w:rsid w:val="00BC15EA"/>
    <w:rsid w:val="00BE6798"/>
    <w:rsid w:val="00BF2687"/>
    <w:rsid w:val="00C70A9D"/>
    <w:rsid w:val="00C834EE"/>
    <w:rsid w:val="00D0078A"/>
    <w:rsid w:val="00D01561"/>
    <w:rsid w:val="00D41046"/>
    <w:rsid w:val="00D419BB"/>
    <w:rsid w:val="00D61493"/>
    <w:rsid w:val="00DA62E7"/>
    <w:rsid w:val="00DB6F4E"/>
    <w:rsid w:val="00DD3FC5"/>
    <w:rsid w:val="00DE06C1"/>
    <w:rsid w:val="00DE0E90"/>
    <w:rsid w:val="00E82976"/>
    <w:rsid w:val="00E95180"/>
    <w:rsid w:val="00EC2720"/>
    <w:rsid w:val="00EF4C73"/>
    <w:rsid w:val="00F078DE"/>
    <w:rsid w:val="00F1123C"/>
    <w:rsid w:val="00F14688"/>
    <w:rsid w:val="00F224EF"/>
    <w:rsid w:val="00F24668"/>
    <w:rsid w:val="00F40F3B"/>
    <w:rsid w:val="00F52E8A"/>
    <w:rsid w:val="00F5363B"/>
    <w:rsid w:val="00F53D7A"/>
    <w:rsid w:val="00F74A96"/>
    <w:rsid w:val="00F825A6"/>
    <w:rsid w:val="00F90AB6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4DDD4"/>
  <w15:chartTrackingRefBased/>
  <w15:docId w15:val="{66F22207-60D2-4882-9AD4-24EF828B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04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04E"/>
  </w:style>
  <w:style w:type="paragraph" w:styleId="a7">
    <w:name w:val="footer"/>
    <w:basedOn w:val="a"/>
    <w:link w:val="a8"/>
    <w:uiPriority w:val="99"/>
    <w:unhideWhenUsed/>
    <w:rsid w:val="00997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04E"/>
  </w:style>
  <w:style w:type="table" w:styleId="a9">
    <w:name w:val="Table Grid"/>
    <w:basedOn w:val="a1"/>
    <w:uiPriority w:val="39"/>
    <w:rsid w:val="0088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5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5BC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0D7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c">
    <w:name w:val="Знак Знак Знак Знак"/>
    <w:basedOn w:val="a"/>
    <w:rsid w:val="006B1C01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3793-5804-4E49-9521-2D1DD84C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9669</Words>
  <Characters>5512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V.O.D.A.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Inna-Zagal</dc:creator>
  <cp:keywords/>
  <dc:description/>
  <cp:lastModifiedBy>SAK</cp:lastModifiedBy>
  <cp:revision>4</cp:revision>
  <cp:lastPrinted>2023-12-11T09:49:00Z</cp:lastPrinted>
  <dcterms:created xsi:type="dcterms:W3CDTF">2024-03-12T08:30:00Z</dcterms:created>
  <dcterms:modified xsi:type="dcterms:W3CDTF">2024-03-12T08:37:00Z</dcterms:modified>
</cp:coreProperties>
</file>