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0C9" w:rsidRDefault="00F160C9" w:rsidP="00F160C9">
      <w:pPr>
        <w:spacing w:after="0" w:line="240" w:lineRule="auto"/>
        <w:jc w:val="center"/>
        <w:rPr>
          <w:rFonts w:ascii="Times New Roman" w:hAnsi="Times New Roman" w:cs="Times New Roman"/>
          <w:snapToGrid w:val="0"/>
          <w:spacing w:val="8"/>
          <w:sz w:val="28"/>
          <w:szCs w:val="28"/>
          <w:lang w:val="uk-UA"/>
        </w:rPr>
      </w:pPr>
      <w:r w:rsidRPr="00E20762">
        <w:rPr>
          <w:rFonts w:ascii="Times New Roman" w:hAnsi="Times New Roman" w:cs="Times New Roman"/>
          <w:noProof/>
          <w:spacing w:val="8"/>
          <w:sz w:val="28"/>
          <w:szCs w:val="28"/>
          <w:lang w:eastAsia="ru-RU"/>
        </w:rPr>
        <w:drawing>
          <wp:inline distT="0" distB="0" distL="0" distR="0">
            <wp:extent cx="428625" cy="6096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0C9" w:rsidRPr="00E20762" w:rsidRDefault="00F160C9" w:rsidP="00F160C9">
      <w:pPr>
        <w:spacing w:after="0" w:line="240" w:lineRule="auto"/>
        <w:jc w:val="center"/>
        <w:rPr>
          <w:rFonts w:ascii="Times New Roman" w:hAnsi="Times New Roman" w:cs="Times New Roman"/>
          <w:snapToGrid w:val="0"/>
          <w:spacing w:val="8"/>
          <w:sz w:val="28"/>
          <w:szCs w:val="28"/>
          <w:lang w:val="uk-UA"/>
        </w:rPr>
      </w:pPr>
    </w:p>
    <w:p w:rsidR="00F160C9" w:rsidRPr="00E20762" w:rsidRDefault="00F160C9" w:rsidP="00F160C9">
      <w:pPr>
        <w:pStyle w:val="1"/>
        <w:rPr>
          <w:b/>
          <w:bCs/>
          <w:szCs w:val="28"/>
        </w:rPr>
      </w:pPr>
      <w:r w:rsidRPr="00E20762">
        <w:rPr>
          <w:b/>
          <w:bCs/>
          <w:szCs w:val="28"/>
        </w:rPr>
        <w:t>ЛУДИНСЬКА СІЛЬСЬКА РАДА</w:t>
      </w:r>
    </w:p>
    <w:p w:rsidR="00F160C9" w:rsidRPr="00E20762" w:rsidRDefault="00F160C9" w:rsidP="00F160C9">
      <w:pPr>
        <w:pStyle w:val="1"/>
        <w:rPr>
          <w:b/>
          <w:bCs/>
          <w:szCs w:val="28"/>
        </w:rPr>
      </w:pPr>
      <w:r w:rsidRPr="00E20762">
        <w:rPr>
          <w:b/>
          <w:szCs w:val="28"/>
        </w:rPr>
        <w:t>ВОЛОДИМИР-ВОЛИНСЬКОГО РАЙОНУ ВОЛИНСЬКОЇ ОБЛАСТІ</w:t>
      </w:r>
    </w:p>
    <w:p w:rsidR="00F160C9" w:rsidRDefault="00F160C9" w:rsidP="00F16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D5E76">
        <w:rPr>
          <w:rFonts w:ascii="Times New Roman" w:hAnsi="Times New Roman" w:cs="Times New Roman"/>
          <w:b/>
          <w:sz w:val="24"/>
          <w:szCs w:val="24"/>
          <w:lang w:val="uk-UA"/>
        </w:rPr>
        <w:t>шостого скликання</w:t>
      </w:r>
    </w:p>
    <w:p w:rsidR="00F160C9" w:rsidRPr="001D5E76" w:rsidRDefault="00F160C9" w:rsidP="00F160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160C9" w:rsidRPr="00E20762" w:rsidRDefault="0060011F" w:rsidP="00F16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 Р О Е К Т    </w:t>
      </w:r>
      <w:r w:rsidR="00F160C9" w:rsidRPr="00E20762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F160C9" w:rsidRPr="00E20762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F160C9" w:rsidRPr="00E20762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F160C9" w:rsidRPr="00E20762" w:rsidRDefault="00F160C9" w:rsidP="00F160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160C9" w:rsidRPr="00E20762" w:rsidRDefault="0060011F" w:rsidP="00F160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         </w:t>
      </w:r>
      <w:r w:rsidR="00F160C9" w:rsidRPr="00E2076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proofErr w:type="spellStart"/>
      <w:r w:rsidR="00F160C9" w:rsidRPr="00E20762">
        <w:rPr>
          <w:rFonts w:ascii="Times New Roman" w:hAnsi="Times New Roman" w:cs="Times New Roman"/>
          <w:sz w:val="28"/>
          <w:szCs w:val="28"/>
          <w:lang w:val="uk-UA"/>
        </w:rPr>
        <w:t>с.Лудин</w:t>
      </w:r>
      <w:proofErr w:type="spellEnd"/>
      <w:r w:rsidR="00F160C9" w:rsidRPr="00E2076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</w:p>
    <w:p w:rsidR="00F160C9" w:rsidRPr="00E20762" w:rsidRDefault="00F160C9" w:rsidP="00F160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2076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328D2" w:rsidRPr="00C44B35" w:rsidRDefault="00C328D2" w:rsidP="00C44B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Про встановлення розмірів відрахувань </w:t>
      </w:r>
    </w:p>
    <w:p w:rsidR="00C328D2" w:rsidRPr="00C44B35" w:rsidRDefault="00C328D2" w:rsidP="00C44B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на розвиток інженерно-транспортної та </w:t>
      </w:r>
    </w:p>
    <w:p w:rsidR="00C328D2" w:rsidRPr="00C44B35" w:rsidRDefault="00C328D2" w:rsidP="00C44B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соціальної інфраструктури </w:t>
      </w:r>
      <w:proofErr w:type="spellStart"/>
      <w:r w:rsidRPr="00C44B35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</w:p>
    <w:p w:rsidR="00C328D2" w:rsidRPr="00C44B35" w:rsidRDefault="00C328D2" w:rsidP="00C44B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</w:p>
    <w:p w:rsidR="00C328D2" w:rsidRPr="00C44B35" w:rsidRDefault="00C328D2" w:rsidP="00C44B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28D2" w:rsidRPr="00C44B35" w:rsidRDefault="00C328D2" w:rsidP="00C44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   Відповідно до ст.27 Закону України від 24.01.2007 р. № 1699-ІІІ „ Про планування і забудову територій ”, постанови Кабінету Міністрів України  від 30 січня 2007 року № 40„Про встановлення граничного розміру залучення коштів замовників на розвиток інженерно-транспортної та соціальної інфраструктури насел</w:t>
      </w:r>
      <w:r w:rsidR="006368E6">
        <w:rPr>
          <w:rFonts w:ascii="Times New Roman" w:hAnsi="Times New Roman" w:cs="Times New Roman"/>
          <w:sz w:val="28"/>
          <w:szCs w:val="28"/>
          <w:lang w:val="uk-UA"/>
        </w:rPr>
        <w:t>ених пунктів ” керуючись ст.25 З</w:t>
      </w:r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акону України „ Про місцеве самоврядування в Україні ”, сільська рада </w:t>
      </w:r>
    </w:p>
    <w:p w:rsidR="00C328D2" w:rsidRPr="00C44B35" w:rsidRDefault="00C328D2" w:rsidP="00C44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ВИРІШИЛА:</w:t>
      </w:r>
    </w:p>
    <w:p w:rsidR="00C328D2" w:rsidRPr="00C44B35" w:rsidRDefault="00C328D2" w:rsidP="00C44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8D2" w:rsidRPr="00C44B35" w:rsidRDefault="00C328D2" w:rsidP="00C44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Положення про пайову участь забудовників на розвиток інженерно-транспортної та соціальної інфраструктури території </w:t>
      </w:r>
      <w:proofErr w:type="spellStart"/>
      <w:r w:rsidRPr="00C44B35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ради(додаток №1).</w:t>
      </w:r>
    </w:p>
    <w:p w:rsidR="00C328D2" w:rsidRPr="00C44B35" w:rsidRDefault="00C328D2" w:rsidP="00C44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2.Затвердити склад комісії по встановленню розмірів внесків на розвиток інженерно-транспортної та соціальної інфраструктури території </w:t>
      </w:r>
      <w:proofErr w:type="spellStart"/>
      <w:r w:rsidRPr="00C44B35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ради(додаток №3).</w:t>
      </w:r>
    </w:p>
    <w:p w:rsidR="00C328D2" w:rsidRPr="00C44B35" w:rsidRDefault="00C328D2" w:rsidP="00C44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sz w:val="28"/>
          <w:szCs w:val="28"/>
          <w:lang w:val="uk-UA"/>
        </w:rPr>
        <w:t>3.Затвердити розміри відрахувань замовниками будівництва згідно додатку №2</w:t>
      </w:r>
    </w:p>
    <w:p w:rsidR="00C328D2" w:rsidRPr="00C44B35" w:rsidRDefault="00C328D2" w:rsidP="00C44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4.Контроль за виконанням </w:t>
      </w:r>
      <w:r w:rsidR="00FE0F8C"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 w:rsidRPr="00C44B35">
        <w:rPr>
          <w:rFonts w:ascii="Times New Roman" w:hAnsi="Times New Roman" w:cs="Times New Roman"/>
          <w:sz w:val="28"/>
          <w:szCs w:val="28"/>
          <w:lang w:val="uk-UA"/>
        </w:rPr>
        <w:t>рішення покласти на сільського голову.</w:t>
      </w:r>
    </w:p>
    <w:p w:rsidR="00C328D2" w:rsidRPr="00C44B35" w:rsidRDefault="00C328D2" w:rsidP="00C44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8D2" w:rsidRPr="00C44B35" w:rsidRDefault="00C328D2" w:rsidP="00C44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8D2" w:rsidRPr="00C44B35" w:rsidRDefault="00C328D2" w:rsidP="00C44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                     А.І.</w:t>
      </w:r>
      <w:proofErr w:type="spellStart"/>
      <w:r w:rsidRPr="00C44B35">
        <w:rPr>
          <w:rFonts w:ascii="Times New Roman" w:hAnsi="Times New Roman" w:cs="Times New Roman"/>
          <w:sz w:val="28"/>
          <w:szCs w:val="28"/>
          <w:lang w:val="uk-UA"/>
        </w:rPr>
        <w:t>Никитюк</w:t>
      </w:r>
      <w:proofErr w:type="spellEnd"/>
    </w:p>
    <w:p w:rsidR="00C328D2" w:rsidRPr="00C44B35" w:rsidRDefault="00C328D2" w:rsidP="00C44B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8D2" w:rsidRDefault="00C328D2" w:rsidP="00C44B35">
      <w:pPr>
        <w:spacing w:after="0"/>
        <w:jc w:val="both"/>
        <w:rPr>
          <w:sz w:val="28"/>
          <w:szCs w:val="28"/>
          <w:lang w:val="uk-UA"/>
        </w:rPr>
      </w:pPr>
    </w:p>
    <w:p w:rsidR="00C328D2" w:rsidRDefault="00C328D2" w:rsidP="00C328D2">
      <w:pPr>
        <w:jc w:val="both"/>
        <w:rPr>
          <w:sz w:val="28"/>
          <w:szCs w:val="28"/>
          <w:lang w:val="uk-UA"/>
        </w:rPr>
      </w:pPr>
    </w:p>
    <w:p w:rsidR="00C44B35" w:rsidRDefault="00C44B35" w:rsidP="00C328D2">
      <w:pPr>
        <w:jc w:val="both"/>
        <w:rPr>
          <w:sz w:val="28"/>
          <w:szCs w:val="28"/>
          <w:lang w:val="uk-UA"/>
        </w:rPr>
      </w:pPr>
    </w:p>
    <w:p w:rsidR="00C44B35" w:rsidRDefault="00C44B35" w:rsidP="00C328D2">
      <w:pPr>
        <w:jc w:val="both"/>
        <w:rPr>
          <w:sz w:val="28"/>
          <w:szCs w:val="28"/>
          <w:lang w:val="uk-UA"/>
        </w:rPr>
      </w:pPr>
    </w:p>
    <w:p w:rsidR="00C44B35" w:rsidRDefault="00C44B35" w:rsidP="00C328D2">
      <w:pPr>
        <w:jc w:val="both"/>
        <w:rPr>
          <w:sz w:val="28"/>
          <w:szCs w:val="28"/>
          <w:lang w:val="uk-UA"/>
        </w:rPr>
      </w:pPr>
    </w:p>
    <w:p w:rsidR="00C44B35" w:rsidRPr="00C44B35" w:rsidRDefault="00F2179B" w:rsidP="00C4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4B3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    </w:t>
      </w:r>
      <w:r w:rsidR="00C44B35"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</w:p>
    <w:p w:rsidR="00C44B35" w:rsidRPr="00C44B35" w:rsidRDefault="00C44B35" w:rsidP="00C4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>Додаток  1</w:t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179B"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</w:p>
    <w:p w:rsidR="00C44B35" w:rsidRDefault="00C44B35" w:rsidP="00C4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C758D8" w:rsidRPr="00C44B35" w:rsidRDefault="00C44B35" w:rsidP="00C4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</w:t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>«ЗАТВЕРДЖЕНО»</w:t>
      </w:r>
    </w:p>
    <w:p w:rsidR="00C758D8" w:rsidRPr="00C44B35" w:rsidRDefault="00C758D8" w:rsidP="00C4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</w:t>
      </w:r>
      <w:r w:rsidR="00F2179B"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C44B35"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C44B35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C44B35"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>рішенням сесії с / ради</w:t>
      </w:r>
    </w:p>
    <w:p w:rsidR="00C758D8" w:rsidRPr="00C44B35" w:rsidRDefault="00F2179B" w:rsidP="00C4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</w:t>
      </w:r>
      <w:r w:rsidR="00C44B35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>від ___</w:t>
      </w:r>
      <w:r w:rsidR="00C44B35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>№ ______</w:t>
      </w:r>
    </w:p>
    <w:p w:rsidR="00C758D8" w:rsidRPr="00C44B35" w:rsidRDefault="00C758D8" w:rsidP="00C44B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C758D8" w:rsidRPr="00C44B35" w:rsidRDefault="00C758D8" w:rsidP="00C44B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58D8" w:rsidRPr="00C44B35" w:rsidRDefault="00C758D8" w:rsidP="00C758D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 О Л О Ж Е Н </w:t>
      </w:r>
      <w:proofErr w:type="spellStart"/>
      <w:r w:rsidRPr="00C44B35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C44B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C758D8" w:rsidRPr="00C44B35" w:rsidRDefault="00C758D8" w:rsidP="00C758D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пайову участь забудовників на розвиток інженерно-транспортної та соціальної інфраструктури території </w:t>
      </w:r>
      <w:proofErr w:type="spellStart"/>
      <w:r w:rsidR="00FE0F8C" w:rsidRPr="00C44B35">
        <w:rPr>
          <w:rFonts w:ascii="Times New Roman" w:hAnsi="Times New Roman" w:cs="Times New Roman"/>
          <w:b/>
          <w:sz w:val="28"/>
          <w:szCs w:val="28"/>
          <w:lang w:val="uk-UA"/>
        </w:rPr>
        <w:t>Лудинської</w:t>
      </w:r>
      <w:proofErr w:type="spellEnd"/>
      <w:r w:rsidRPr="00C44B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ради.</w:t>
      </w:r>
    </w:p>
    <w:p w:rsidR="00C758D8" w:rsidRPr="00C44B35" w:rsidRDefault="00C758D8" w:rsidP="00C758D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758D8" w:rsidRPr="00C44B35" w:rsidRDefault="00C758D8" w:rsidP="00C758D8">
      <w:pPr>
        <w:numPr>
          <w:ilvl w:val="0"/>
          <w:numId w:val="1"/>
        </w:numPr>
        <w:tabs>
          <w:tab w:val="clear" w:pos="720"/>
          <w:tab w:val="num" w:pos="-57"/>
        </w:tabs>
        <w:spacing w:after="0" w:line="240" w:lineRule="auto"/>
        <w:ind w:left="0" w:firstLine="9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залучення пайових внесків забудовників на розвиток інженерно-транспортної та соціальної інфраструктури території </w:t>
      </w:r>
      <w:proofErr w:type="spellStart"/>
      <w:r w:rsidR="00FE0F8C" w:rsidRPr="00C44B35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(далі – Положення) розроблене з метою встановлення порядку та визначення розмірів пайових внесків забудовників на розвиток інженерно-транспортної та соціальної інфраструктури </w:t>
      </w:r>
      <w:proofErr w:type="spellStart"/>
      <w:r w:rsidR="00FE0F8C" w:rsidRPr="00C44B35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="00FE0F8C"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4B35">
        <w:rPr>
          <w:rFonts w:ascii="Times New Roman" w:hAnsi="Times New Roman" w:cs="Times New Roman"/>
          <w:sz w:val="28"/>
          <w:szCs w:val="28"/>
          <w:lang w:val="uk-UA"/>
        </w:rPr>
        <w:t>сільської ради.</w:t>
      </w:r>
    </w:p>
    <w:p w:rsidR="00C758D8" w:rsidRPr="00C44B35" w:rsidRDefault="00C758D8" w:rsidP="00C758D8">
      <w:pPr>
        <w:numPr>
          <w:ilvl w:val="0"/>
          <w:numId w:val="1"/>
        </w:numPr>
        <w:tabs>
          <w:tab w:val="clear" w:pos="720"/>
          <w:tab w:val="num" w:pos="-57"/>
        </w:tabs>
        <w:spacing w:after="0" w:line="240" w:lineRule="auto"/>
        <w:ind w:left="0" w:firstLine="9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sz w:val="28"/>
          <w:szCs w:val="28"/>
          <w:lang w:val="uk-UA"/>
        </w:rPr>
        <w:t>Відповідно до постанови Кабінету Міністрів України від 24 січня 2007 року № 40 "Про встановлення граничного розміру залучення коштів замовників на розвиток інженерно-транспортної та соціальної інфраструктури населених пунктів"  граничний розмір залучення коштів замовників  на розвиток інженерно-транспортної  та соціальної інфраструктури населених пунктів з урахуванням вартості робіт, передбачених вихідними даними на проектування, не може перевищувати 20 відсотків вартості будівництва об’єкта незалежно від його функціонального призначення..</w:t>
      </w:r>
    </w:p>
    <w:p w:rsidR="00C758D8" w:rsidRPr="00C44B35" w:rsidRDefault="00C758D8" w:rsidP="00C758D8">
      <w:pPr>
        <w:numPr>
          <w:ilvl w:val="0"/>
          <w:numId w:val="1"/>
        </w:numPr>
        <w:tabs>
          <w:tab w:val="clear" w:pos="720"/>
          <w:tab w:val="num" w:pos="-57"/>
        </w:tabs>
        <w:spacing w:after="0" w:line="240" w:lineRule="auto"/>
        <w:ind w:left="0" w:firstLine="9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Орієнтовні розміри пайових внесків встановлюються відповідно до додатку 1 в залежності від функціонального призначення об’єктів забудови. Конкретний розмір внесків у межах, визначених додатком 2, встановлюється комісією по встановленню розмірів внесків на розвиток інженерно-транспортної та соціальної інфраструктури </w:t>
      </w:r>
      <w:proofErr w:type="spellStart"/>
      <w:r w:rsidR="00FE0F8C" w:rsidRPr="00C44B35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="00FE0F8C"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(далі – Комісія) і закріплюється у договорі про пайову участь на розвиток інженерно-транспортної та соціальної інфраструктури (далі – Договір) між сільським головою та забудовником. </w:t>
      </w:r>
    </w:p>
    <w:p w:rsidR="00C758D8" w:rsidRPr="00C44B35" w:rsidRDefault="00C758D8" w:rsidP="00C758D8">
      <w:pPr>
        <w:numPr>
          <w:ilvl w:val="0"/>
          <w:numId w:val="1"/>
        </w:numPr>
        <w:tabs>
          <w:tab w:val="clear" w:pos="720"/>
          <w:tab w:val="num" w:pos="-57"/>
        </w:tabs>
        <w:spacing w:after="0" w:line="240" w:lineRule="auto"/>
        <w:ind w:left="0" w:firstLine="9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Умовами Договору сума відрахувань може бути замінена на виконання робіт, спрямованих на розвиток інженерно-транспортної та соціальної інфраструктури </w:t>
      </w:r>
      <w:proofErr w:type="spellStart"/>
      <w:r w:rsidR="00FE0F8C" w:rsidRPr="00C44B35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витрати на виконання яких дорівнюють сумі відрахувань.</w:t>
      </w:r>
    </w:p>
    <w:p w:rsidR="00C758D8" w:rsidRPr="00C44B35" w:rsidRDefault="00C758D8" w:rsidP="00C758D8">
      <w:pPr>
        <w:numPr>
          <w:ilvl w:val="0"/>
          <w:numId w:val="1"/>
        </w:numPr>
        <w:tabs>
          <w:tab w:val="clear" w:pos="720"/>
          <w:tab w:val="num" w:pos="-57"/>
        </w:tabs>
        <w:spacing w:after="0" w:line="240" w:lineRule="auto"/>
        <w:ind w:left="0" w:firstLine="9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noProof/>
          <w:sz w:val="28"/>
          <w:szCs w:val="28"/>
        </w:rPr>
        <w:t>Пайову участь (внески) не сплачують інвестори (забудовники), які здійснюють:</w:t>
      </w:r>
    </w:p>
    <w:p w:rsidR="00C758D8" w:rsidRPr="00C44B35" w:rsidRDefault="00C758D8" w:rsidP="00C758D8">
      <w:pPr>
        <w:pStyle w:val="Just"/>
        <w:rPr>
          <w:noProof/>
          <w:sz w:val="28"/>
          <w:szCs w:val="28"/>
        </w:rPr>
      </w:pPr>
      <w:r w:rsidRPr="00C44B35">
        <w:rPr>
          <w:noProof/>
          <w:sz w:val="28"/>
          <w:szCs w:val="28"/>
        </w:rPr>
        <w:t xml:space="preserve">- будівництво (реконструкцію) будь-яких об’єктів на замовлення </w:t>
      </w:r>
      <w:r w:rsidRPr="00C44B35">
        <w:rPr>
          <w:noProof/>
          <w:sz w:val="28"/>
          <w:szCs w:val="28"/>
          <w:lang w:val="uk-UA"/>
        </w:rPr>
        <w:t>районної</w:t>
      </w:r>
      <w:r w:rsidRPr="00C44B35">
        <w:rPr>
          <w:noProof/>
          <w:sz w:val="28"/>
          <w:szCs w:val="28"/>
        </w:rPr>
        <w:t xml:space="preserve"> державної адміністрації та/або </w:t>
      </w:r>
      <w:r w:rsidRPr="00C44B35">
        <w:rPr>
          <w:noProof/>
          <w:sz w:val="28"/>
          <w:szCs w:val="28"/>
          <w:lang w:val="uk-UA"/>
        </w:rPr>
        <w:t>ради</w:t>
      </w:r>
      <w:r w:rsidRPr="00C44B35">
        <w:rPr>
          <w:noProof/>
          <w:sz w:val="28"/>
          <w:szCs w:val="28"/>
        </w:rPr>
        <w:t xml:space="preserve"> за кошти державного та/або місцевого бюджету;</w:t>
      </w:r>
    </w:p>
    <w:p w:rsidR="00C758D8" w:rsidRPr="00C44B35" w:rsidRDefault="00C758D8" w:rsidP="00C758D8">
      <w:pPr>
        <w:pStyle w:val="Just"/>
        <w:rPr>
          <w:noProof/>
          <w:sz w:val="28"/>
          <w:szCs w:val="28"/>
        </w:rPr>
      </w:pPr>
      <w:r w:rsidRPr="00C44B35">
        <w:rPr>
          <w:noProof/>
          <w:sz w:val="28"/>
          <w:szCs w:val="28"/>
        </w:rPr>
        <w:lastRenderedPageBreak/>
        <w:t xml:space="preserve">- будівництво житла для соціально незахищених категорій громадян, які перебувають на квартирному обліку в </w:t>
      </w:r>
      <w:r w:rsidRPr="00C44B35">
        <w:rPr>
          <w:noProof/>
          <w:sz w:val="28"/>
          <w:szCs w:val="28"/>
          <w:lang w:val="uk-UA"/>
        </w:rPr>
        <w:t>раді</w:t>
      </w:r>
      <w:r w:rsidRPr="00C44B35">
        <w:rPr>
          <w:noProof/>
          <w:sz w:val="28"/>
          <w:szCs w:val="28"/>
        </w:rPr>
        <w:t>;</w:t>
      </w:r>
    </w:p>
    <w:p w:rsidR="00C758D8" w:rsidRPr="00C44B35" w:rsidRDefault="00C758D8" w:rsidP="00C758D8">
      <w:pPr>
        <w:pStyle w:val="Just"/>
        <w:rPr>
          <w:noProof/>
          <w:sz w:val="28"/>
          <w:szCs w:val="28"/>
          <w:lang w:val="uk-UA"/>
        </w:rPr>
      </w:pPr>
      <w:r w:rsidRPr="00C44B35">
        <w:rPr>
          <w:noProof/>
          <w:sz w:val="28"/>
          <w:szCs w:val="28"/>
          <w:lang w:val="uk-UA"/>
        </w:rPr>
        <w:t>- реконструкцію (прибудову, добудову, розширення) існуючих індивідуальних (приватних) житлових будинків в межах 30% від загальної площі;</w:t>
      </w:r>
    </w:p>
    <w:p w:rsidR="00C758D8" w:rsidRPr="00C44B35" w:rsidRDefault="00C758D8" w:rsidP="00C758D8">
      <w:pPr>
        <w:pStyle w:val="Just"/>
        <w:rPr>
          <w:noProof/>
          <w:sz w:val="28"/>
          <w:szCs w:val="28"/>
          <w:lang w:val="uk-UA"/>
        </w:rPr>
      </w:pPr>
      <w:r w:rsidRPr="00C44B35">
        <w:rPr>
          <w:noProof/>
          <w:sz w:val="28"/>
          <w:szCs w:val="28"/>
          <w:lang w:val="uk-UA"/>
        </w:rPr>
        <w:t>- будівництво об’єктів соціальної сфери (дитячих дошкільних закладів, загальноосвітніх та спортивних шкіл, об’єктів позашкільного виховання, охорони здоров’я та соціального забезпечення тощо) за умов передачі їх у комунальну власність міста або району;</w:t>
      </w:r>
    </w:p>
    <w:p w:rsidR="00C758D8" w:rsidRPr="00C44B35" w:rsidRDefault="00C758D8" w:rsidP="00C758D8">
      <w:pPr>
        <w:pStyle w:val="Just"/>
        <w:rPr>
          <w:noProof/>
          <w:sz w:val="28"/>
          <w:szCs w:val="28"/>
        </w:rPr>
      </w:pPr>
      <w:proofErr w:type="gramStart"/>
      <w:r w:rsidRPr="00C44B35">
        <w:rPr>
          <w:noProof/>
          <w:sz w:val="28"/>
          <w:szCs w:val="28"/>
        </w:rPr>
        <w:t>- будівництво гаражів, паркінгів, автостоянок, підсобних та господарських приміщень у складі житлових будинків, відповідно до затвердженої у встановленому порядку проектно-кошторисної документації;</w:t>
      </w:r>
      <w:proofErr w:type="gramEnd"/>
    </w:p>
    <w:p w:rsidR="00C758D8" w:rsidRPr="00C44B35" w:rsidRDefault="00C758D8" w:rsidP="00C758D8">
      <w:pPr>
        <w:pStyle w:val="Just"/>
        <w:rPr>
          <w:noProof/>
          <w:sz w:val="28"/>
          <w:szCs w:val="28"/>
        </w:rPr>
      </w:pPr>
      <w:r w:rsidRPr="00C44B35">
        <w:rPr>
          <w:noProof/>
          <w:sz w:val="28"/>
          <w:szCs w:val="28"/>
        </w:rPr>
        <w:t>- будівництво релігійно-культових об’єктів;</w:t>
      </w:r>
    </w:p>
    <w:p w:rsidR="00C758D8" w:rsidRPr="00C44B35" w:rsidRDefault="00C758D8" w:rsidP="00C758D8">
      <w:pPr>
        <w:pStyle w:val="Just"/>
        <w:rPr>
          <w:noProof/>
          <w:sz w:val="28"/>
          <w:szCs w:val="28"/>
        </w:rPr>
      </w:pPr>
      <w:r w:rsidRPr="00C44B35">
        <w:rPr>
          <w:noProof/>
          <w:sz w:val="28"/>
          <w:szCs w:val="28"/>
        </w:rPr>
        <w:t>- реставрацію пам’яток архітектури, історії та культури в частині площ, що не перепрофільовуються;</w:t>
      </w:r>
    </w:p>
    <w:p w:rsidR="00C758D8" w:rsidRPr="00C44B35" w:rsidRDefault="00C758D8" w:rsidP="00C758D8">
      <w:pPr>
        <w:pStyle w:val="Just"/>
        <w:rPr>
          <w:noProof/>
          <w:sz w:val="28"/>
          <w:szCs w:val="28"/>
        </w:rPr>
      </w:pPr>
      <w:r w:rsidRPr="00C44B35">
        <w:rPr>
          <w:noProof/>
          <w:sz w:val="28"/>
          <w:szCs w:val="28"/>
        </w:rPr>
        <w:t>- відтворення втрачених об’єктів історико-архітектурної спадщини в частині площ, що не перепрофільовуються;</w:t>
      </w:r>
    </w:p>
    <w:p w:rsidR="00C758D8" w:rsidRPr="00C44B35" w:rsidRDefault="00C758D8" w:rsidP="00C758D8">
      <w:pPr>
        <w:pStyle w:val="Just"/>
        <w:rPr>
          <w:noProof/>
          <w:sz w:val="28"/>
          <w:szCs w:val="28"/>
        </w:rPr>
      </w:pPr>
      <w:proofErr w:type="gramStart"/>
      <w:r w:rsidRPr="00C44B35">
        <w:rPr>
          <w:noProof/>
          <w:sz w:val="28"/>
          <w:szCs w:val="28"/>
        </w:rPr>
        <w:t>- реконструкцію об’єктів, що є пам’ятками архітектури, історії та культури, якщо інвесторами (забудовниками) було здійснено відселення за їх кошти із старих та непридатних для проживання житлових будинків або будівель (споруд), придбаних в процесі приватизації об’єктів, в частині площ, що не нарощуються і не перепрофільовуються;</w:t>
      </w:r>
      <w:proofErr w:type="gramEnd"/>
    </w:p>
    <w:p w:rsidR="00C758D8" w:rsidRPr="00C44B35" w:rsidRDefault="00C758D8" w:rsidP="00C758D8">
      <w:pPr>
        <w:pStyle w:val="Just"/>
        <w:rPr>
          <w:noProof/>
          <w:sz w:val="28"/>
          <w:szCs w:val="28"/>
        </w:rPr>
      </w:pPr>
      <w:r w:rsidRPr="00C44B35">
        <w:rPr>
          <w:noProof/>
          <w:sz w:val="28"/>
          <w:szCs w:val="28"/>
        </w:rPr>
        <w:t>- будівництво об’єктів інженерного забезпечення, енергозбереження та енергопостачання: насосних станцій та теплових мереж, бойлерних, котелень, трансформаторних підстанцій, РП, ПС, ГРП, ЛЕП тощо</w:t>
      </w:r>
    </w:p>
    <w:p w:rsidR="00C758D8" w:rsidRPr="00C44B35" w:rsidRDefault="00C758D8" w:rsidP="00C758D8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9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У випадку будівництва об’єкту у зоні, де відсутні мережі </w:t>
      </w:r>
      <w:proofErr w:type="spellStart"/>
      <w:r w:rsidRPr="00C44B35">
        <w:rPr>
          <w:rFonts w:ascii="Times New Roman" w:hAnsi="Times New Roman" w:cs="Times New Roman"/>
          <w:sz w:val="28"/>
          <w:szCs w:val="28"/>
          <w:lang w:val="uk-UA"/>
        </w:rPr>
        <w:t>тепло-</w:t>
      </w:r>
      <w:proofErr w:type="spellEnd"/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44B35">
        <w:rPr>
          <w:rFonts w:ascii="Times New Roman" w:hAnsi="Times New Roman" w:cs="Times New Roman"/>
          <w:sz w:val="28"/>
          <w:szCs w:val="28"/>
          <w:lang w:val="uk-UA"/>
        </w:rPr>
        <w:t>водо-</w:t>
      </w:r>
      <w:proofErr w:type="spellEnd"/>
      <w:r w:rsidRPr="00C44B35">
        <w:rPr>
          <w:rFonts w:ascii="Times New Roman" w:hAnsi="Times New Roman" w:cs="Times New Roman"/>
          <w:sz w:val="28"/>
          <w:szCs w:val="28"/>
          <w:lang w:val="uk-UA"/>
        </w:rPr>
        <w:t>, газопостачання, водовідведення, та якщо забудовник зобов’язується їх побудувати за власні кошти, за пропозицією управління будівництва, архітектури та житлово-комунального господарства райдержадміністрації можливе застосування понижуючого коефіцієнту – 0,7.</w:t>
      </w:r>
    </w:p>
    <w:p w:rsidR="00C758D8" w:rsidRDefault="00C758D8" w:rsidP="00C758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011F" w:rsidRPr="00C44B35" w:rsidRDefault="0060011F" w:rsidP="00C758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сільської ради                                                           Ж.Л.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Півницька</w:t>
      </w:r>
      <w:proofErr w:type="spellEnd"/>
    </w:p>
    <w:p w:rsidR="00C758D8" w:rsidRPr="00C44B35" w:rsidRDefault="00C758D8" w:rsidP="00C758D8">
      <w:pPr>
        <w:rPr>
          <w:rFonts w:ascii="Times New Roman" w:hAnsi="Times New Roman" w:cs="Times New Roman"/>
          <w:sz w:val="28"/>
          <w:szCs w:val="28"/>
        </w:rPr>
      </w:pPr>
      <w:r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C758D8" w:rsidRPr="00C44B35" w:rsidRDefault="00C758D8" w:rsidP="00C758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58D8" w:rsidRDefault="00C758D8" w:rsidP="00C758D8">
      <w:pPr>
        <w:jc w:val="right"/>
        <w:rPr>
          <w:sz w:val="24"/>
          <w:szCs w:val="24"/>
          <w:lang w:val="uk-UA"/>
        </w:rPr>
      </w:pPr>
    </w:p>
    <w:p w:rsidR="00C758D8" w:rsidRDefault="00C758D8" w:rsidP="00C758D8">
      <w:pPr>
        <w:jc w:val="right"/>
        <w:rPr>
          <w:sz w:val="24"/>
          <w:szCs w:val="24"/>
          <w:lang w:val="uk-UA"/>
        </w:rPr>
      </w:pPr>
    </w:p>
    <w:p w:rsidR="00F2179B" w:rsidRDefault="00F2179B" w:rsidP="00C758D8">
      <w:pPr>
        <w:jc w:val="right"/>
        <w:rPr>
          <w:sz w:val="24"/>
          <w:szCs w:val="24"/>
          <w:lang w:val="uk-UA"/>
        </w:rPr>
      </w:pPr>
    </w:p>
    <w:p w:rsidR="00F2179B" w:rsidRDefault="00F2179B" w:rsidP="00C758D8">
      <w:pPr>
        <w:jc w:val="right"/>
        <w:rPr>
          <w:sz w:val="24"/>
          <w:szCs w:val="24"/>
          <w:lang w:val="uk-UA"/>
        </w:rPr>
      </w:pPr>
    </w:p>
    <w:p w:rsidR="00C758D8" w:rsidRDefault="00C758D8" w:rsidP="00C44B35">
      <w:pPr>
        <w:rPr>
          <w:sz w:val="24"/>
          <w:szCs w:val="24"/>
          <w:lang w:val="uk-UA"/>
        </w:rPr>
      </w:pPr>
    </w:p>
    <w:p w:rsidR="00C44B35" w:rsidRDefault="00C44B35" w:rsidP="00C44B35">
      <w:pPr>
        <w:rPr>
          <w:sz w:val="24"/>
          <w:szCs w:val="24"/>
          <w:lang w:val="uk-UA"/>
        </w:rPr>
      </w:pPr>
    </w:p>
    <w:p w:rsidR="00F2179B" w:rsidRPr="00C44B35" w:rsidRDefault="00F2179B" w:rsidP="00F217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</w:t>
      </w:r>
      <w:r w:rsidR="00C44B35">
        <w:rPr>
          <w:sz w:val="24"/>
          <w:szCs w:val="24"/>
          <w:lang w:val="uk-UA"/>
        </w:rPr>
        <w:t xml:space="preserve">                     </w:t>
      </w:r>
      <w:r>
        <w:rPr>
          <w:sz w:val="24"/>
          <w:szCs w:val="24"/>
          <w:lang w:val="uk-UA"/>
        </w:rPr>
        <w:t xml:space="preserve">  </w:t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Додаток № 2                                                                                                          </w:t>
      </w:r>
    </w:p>
    <w:p w:rsidR="00C758D8" w:rsidRPr="00C44B35" w:rsidRDefault="00F2179B" w:rsidP="00F2179B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</w:t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 «ЗАТВЕРДЖЕНО»</w:t>
      </w:r>
    </w:p>
    <w:p w:rsidR="00C758D8" w:rsidRPr="00C44B35" w:rsidRDefault="00C758D8" w:rsidP="00F2179B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</w:t>
      </w:r>
      <w:r w:rsidR="00C44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рішенням сесії сільської ради</w:t>
      </w:r>
    </w:p>
    <w:p w:rsidR="00C758D8" w:rsidRPr="00C44B35" w:rsidRDefault="00C758D8" w:rsidP="00F21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</w:t>
      </w:r>
      <w:r w:rsidR="00F2179B"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4B35">
        <w:rPr>
          <w:rFonts w:ascii="Times New Roman" w:hAnsi="Times New Roman" w:cs="Times New Roman"/>
          <w:sz w:val="24"/>
          <w:szCs w:val="24"/>
          <w:lang w:val="uk-UA"/>
        </w:rPr>
        <w:t>від _____________</w:t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>№ ______</w:t>
      </w:r>
    </w:p>
    <w:p w:rsidR="00C758D8" w:rsidRPr="006055E7" w:rsidRDefault="00C758D8" w:rsidP="00F2179B">
      <w:pPr>
        <w:spacing w:after="0"/>
        <w:jc w:val="right"/>
        <w:rPr>
          <w:sz w:val="24"/>
          <w:szCs w:val="24"/>
          <w:lang w:val="uk-UA"/>
        </w:rPr>
      </w:pPr>
    </w:p>
    <w:p w:rsidR="00C758D8" w:rsidRPr="006055E7" w:rsidRDefault="00C758D8" w:rsidP="00C758D8">
      <w:pPr>
        <w:jc w:val="right"/>
        <w:rPr>
          <w:sz w:val="24"/>
          <w:szCs w:val="24"/>
          <w:lang w:val="uk-UA"/>
        </w:rPr>
      </w:pPr>
    </w:p>
    <w:p w:rsidR="00C758D8" w:rsidRPr="00C44B35" w:rsidRDefault="00C758D8" w:rsidP="00C758D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4B35">
        <w:rPr>
          <w:rFonts w:ascii="Times New Roman" w:hAnsi="Times New Roman" w:cs="Times New Roman"/>
          <w:sz w:val="28"/>
          <w:szCs w:val="28"/>
          <w:lang w:val="uk-UA"/>
        </w:rPr>
        <w:t>Розмір відрахувань замовниками будівництва для приміщень та споруд</w:t>
      </w:r>
    </w:p>
    <w:p w:rsidR="00C758D8" w:rsidRPr="00C44B35" w:rsidRDefault="00C758D8" w:rsidP="00C758D8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5"/>
        <w:tblW w:w="0" w:type="auto"/>
        <w:tblLook w:val="01E0"/>
      </w:tblPr>
      <w:tblGrid>
        <w:gridCol w:w="804"/>
        <w:gridCol w:w="5550"/>
        <w:gridCol w:w="3216"/>
      </w:tblGrid>
      <w:tr w:rsidR="00C758D8" w:rsidRPr="00C44B35" w:rsidTr="00744FC7">
        <w:tc>
          <w:tcPr>
            <w:tcW w:w="849" w:type="dxa"/>
          </w:tcPr>
          <w:p w:rsidR="00C758D8" w:rsidRPr="00C44B35" w:rsidRDefault="00C758D8" w:rsidP="00744FC7">
            <w:pPr>
              <w:jc w:val="center"/>
              <w:rPr>
                <w:sz w:val="24"/>
                <w:szCs w:val="24"/>
                <w:lang w:val="uk-UA"/>
              </w:rPr>
            </w:pPr>
            <w:r w:rsidRPr="00C44B35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098" w:type="dxa"/>
          </w:tcPr>
          <w:p w:rsidR="00C758D8" w:rsidRPr="00C44B35" w:rsidRDefault="00C758D8" w:rsidP="00744FC7">
            <w:pPr>
              <w:jc w:val="center"/>
              <w:rPr>
                <w:sz w:val="24"/>
                <w:szCs w:val="24"/>
                <w:lang w:val="uk-UA"/>
              </w:rPr>
            </w:pPr>
            <w:r w:rsidRPr="00C44B35">
              <w:rPr>
                <w:sz w:val="24"/>
                <w:szCs w:val="24"/>
                <w:lang w:val="uk-UA"/>
              </w:rPr>
              <w:t>Види приміщень</w:t>
            </w:r>
          </w:p>
        </w:tc>
        <w:tc>
          <w:tcPr>
            <w:tcW w:w="3474" w:type="dxa"/>
          </w:tcPr>
          <w:p w:rsidR="00C758D8" w:rsidRPr="00C44B35" w:rsidRDefault="00C758D8" w:rsidP="00744FC7">
            <w:pPr>
              <w:jc w:val="center"/>
              <w:rPr>
                <w:sz w:val="22"/>
                <w:szCs w:val="22"/>
                <w:lang w:val="uk-UA"/>
              </w:rPr>
            </w:pPr>
            <w:r w:rsidRPr="00C44B35">
              <w:rPr>
                <w:sz w:val="22"/>
                <w:szCs w:val="22"/>
                <w:lang w:val="uk-UA"/>
              </w:rPr>
              <w:t>Відрахування від вартості будівельно-монтажних робіт, %</w:t>
            </w:r>
          </w:p>
        </w:tc>
      </w:tr>
      <w:tr w:rsidR="00C758D8" w:rsidRPr="00C44B35" w:rsidTr="00744FC7">
        <w:tc>
          <w:tcPr>
            <w:tcW w:w="849" w:type="dxa"/>
          </w:tcPr>
          <w:p w:rsidR="00C758D8" w:rsidRPr="00C44B35" w:rsidRDefault="00C758D8" w:rsidP="00744FC7">
            <w:pPr>
              <w:jc w:val="center"/>
              <w:rPr>
                <w:sz w:val="24"/>
                <w:szCs w:val="24"/>
                <w:lang w:val="uk-UA"/>
              </w:rPr>
            </w:pPr>
            <w:r w:rsidRPr="00C44B35">
              <w:rPr>
                <w:sz w:val="24"/>
                <w:szCs w:val="24"/>
                <w:lang w:val="uk-UA"/>
              </w:rPr>
              <w:t xml:space="preserve">1. </w:t>
            </w:r>
          </w:p>
        </w:tc>
        <w:tc>
          <w:tcPr>
            <w:tcW w:w="6098" w:type="dxa"/>
          </w:tcPr>
          <w:p w:rsidR="00C758D8" w:rsidRPr="00C44B35" w:rsidRDefault="00C758D8" w:rsidP="00744FC7">
            <w:pPr>
              <w:jc w:val="both"/>
              <w:rPr>
                <w:sz w:val="24"/>
                <w:szCs w:val="24"/>
                <w:lang w:val="uk-UA"/>
              </w:rPr>
            </w:pPr>
            <w:r w:rsidRPr="00C44B35">
              <w:rPr>
                <w:sz w:val="24"/>
                <w:szCs w:val="24"/>
                <w:lang w:val="uk-UA"/>
              </w:rPr>
              <w:t>АЗС</w:t>
            </w:r>
          </w:p>
        </w:tc>
        <w:tc>
          <w:tcPr>
            <w:tcW w:w="3474" w:type="dxa"/>
            <w:vAlign w:val="center"/>
          </w:tcPr>
          <w:p w:rsidR="00C758D8" w:rsidRPr="00C44B35" w:rsidRDefault="00C758D8" w:rsidP="00744FC7">
            <w:pPr>
              <w:jc w:val="center"/>
              <w:rPr>
                <w:sz w:val="24"/>
                <w:szCs w:val="24"/>
                <w:lang w:val="uk-UA"/>
              </w:rPr>
            </w:pPr>
            <w:r w:rsidRPr="00C44B35">
              <w:rPr>
                <w:sz w:val="24"/>
                <w:szCs w:val="24"/>
                <w:lang w:val="uk-UA"/>
              </w:rPr>
              <w:t>10 – 20%</w:t>
            </w:r>
          </w:p>
        </w:tc>
      </w:tr>
      <w:tr w:rsidR="00C758D8" w:rsidRPr="00C44B35" w:rsidTr="00744FC7">
        <w:tc>
          <w:tcPr>
            <w:tcW w:w="849" w:type="dxa"/>
          </w:tcPr>
          <w:p w:rsidR="00C758D8" w:rsidRPr="00C44B35" w:rsidRDefault="00C758D8" w:rsidP="00744FC7">
            <w:pPr>
              <w:jc w:val="center"/>
              <w:rPr>
                <w:sz w:val="24"/>
                <w:szCs w:val="24"/>
                <w:lang w:val="uk-UA"/>
              </w:rPr>
            </w:pPr>
            <w:r w:rsidRPr="00C44B35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6098" w:type="dxa"/>
          </w:tcPr>
          <w:p w:rsidR="00C758D8" w:rsidRPr="00C44B35" w:rsidRDefault="00C758D8" w:rsidP="00744FC7">
            <w:pPr>
              <w:jc w:val="center"/>
              <w:rPr>
                <w:sz w:val="24"/>
                <w:szCs w:val="24"/>
                <w:lang w:val="uk-UA"/>
              </w:rPr>
            </w:pPr>
            <w:r w:rsidRPr="00C44B35">
              <w:rPr>
                <w:sz w:val="24"/>
                <w:szCs w:val="24"/>
                <w:lang w:val="uk-UA"/>
              </w:rPr>
              <w:t>Комерційного призначення (магазини, кафе, ресторани, аптеки, перукарні, СТО, салони краси, майстерні) та ін.</w:t>
            </w:r>
          </w:p>
        </w:tc>
        <w:tc>
          <w:tcPr>
            <w:tcW w:w="3474" w:type="dxa"/>
            <w:vAlign w:val="center"/>
          </w:tcPr>
          <w:p w:rsidR="00C758D8" w:rsidRPr="00C44B35" w:rsidRDefault="00C758D8" w:rsidP="00744FC7">
            <w:pPr>
              <w:jc w:val="center"/>
              <w:rPr>
                <w:sz w:val="24"/>
                <w:szCs w:val="24"/>
                <w:lang w:val="uk-UA"/>
              </w:rPr>
            </w:pPr>
            <w:r w:rsidRPr="00C44B35">
              <w:rPr>
                <w:sz w:val="24"/>
                <w:szCs w:val="24"/>
                <w:lang w:val="uk-UA"/>
              </w:rPr>
              <w:t xml:space="preserve">5 – 15% </w:t>
            </w:r>
          </w:p>
        </w:tc>
      </w:tr>
      <w:tr w:rsidR="00C758D8" w:rsidRPr="00C44B35" w:rsidTr="00744FC7">
        <w:tc>
          <w:tcPr>
            <w:tcW w:w="849" w:type="dxa"/>
          </w:tcPr>
          <w:p w:rsidR="00C758D8" w:rsidRPr="00C44B35" w:rsidRDefault="00C758D8" w:rsidP="00744FC7">
            <w:pPr>
              <w:jc w:val="center"/>
              <w:rPr>
                <w:sz w:val="24"/>
                <w:szCs w:val="24"/>
                <w:lang w:val="uk-UA"/>
              </w:rPr>
            </w:pPr>
            <w:r w:rsidRPr="00C44B35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6098" w:type="dxa"/>
          </w:tcPr>
          <w:p w:rsidR="00C758D8" w:rsidRPr="00C44B35" w:rsidRDefault="00C758D8" w:rsidP="00744FC7">
            <w:pPr>
              <w:jc w:val="center"/>
              <w:rPr>
                <w:sz w:val="24"/>
                <w:szCs w:val="24"/>
                <w:lang w:val="uk-UA"/>
              </w:rPr>
            </w:pPr>
            <w:r w:rsidRPr="00C44B35">
              <w:rPr>
                <w:sz w:val="24"/>
                <w:szCs w:val="24"/>
                <w:lang w:val="uk-UA"/>
              </w:rPr>
              <w:t>Господарського та виробничого призначення (склади, гаражі, підсобні приміщення) та ін.</w:t>
            </w:r>
          </w:p>
        </w:tc>
        <w:tc>
          <w:tcPr>
            <w:tcW w:w="3474" w:type="dxa"/>
            <w:vAlign w:val="center"/>
          </w:tcPr>
          <w:p w:rsidR="00C758D8" w:rsidRPr="00C44B35" w:rsidRDefault="00C758D8" w:rsidP="00744FC7">
            <w:pPr>
              <w:jc w:val="center"/>
              <w:rPr>
                <w:sz w:val="24"/>
                <w:szCs w:val="24"/>
                <w:lang w:val="uk-UA"/>
              </w:rPr>
            </w:pPr>
            <w:r w:rsidRPr="00C44B35">
              <w:rPr>
                <w:sz w:val="24"/>
                <w:szCs w:val="24"/>
                <w:lang w:val="uk-UA"/>
              </w:rPr>
              <w:t>2 - 5%</w:t>
            </w:r>
          </w:p>
        </w:tc>
      </w:tr>
      <w:tr w:rsidR="00C758D8" w:rsidRPr="00C44B35" w:rsidTr="00744FC7">
        <w:tc>
          <w:tcPr>
            <w:tcW w:w="849" w:type="dxa"/>
          </w:tcPr>
          <w:p w:rsidR="00C758D8" w:rsidRPr="00C44B35" w:rsidRDefault="00C758D8" w:rsidP="00744FC7">
            <w:pPr>
              <w:jc w:val="center"/>
              <w:rPr>
                <w:sz w:val="24"/>
                <w:szCs w:val="24"/>
                <w:lang w:val="uk-UA"/>
              </w:rPr>
            </w:pPr>
            <w:r w:rsidRPr="00C44B35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6098" w:type="dxa"/>
          </w:tcPr>
          <w:p w:rsidR="00C758D8" w:rsidRPr="00C44B35" w:rsidRDefault="00C758D8" w:rsidP="00744FC7">
            <w:pPr>
              <w:jc w:val="center"/>
              <w:rPr>
                <w:sz w:val="24"/>
                <w:szCs w:val="24"/>
                <w:lang w:val="uk-UA"/>
              </w:rPr>
            </w:pPr>
            <w:r w:rsidRPr="00C44B35">
              <w:rPr>
                <w:sz w:val="24"/>
                <w:szCs w:val="24"/>
                <w:lang w:val="uk-UA"/>
              </w:rPr>
              <w:t>Житлового призначення</w:t>
            </w:r>
          </w:p>
        </w:tc>
        <w:tc>
          <w:tcPr>
            <w:tcW w:w="3474" w:type="dxa"/>
            <w:vAlign w:val="center"/>
          </w:tcPr>
          <w:p w:rsidR="00C758D8" w:rsidRPr="00C44B35" w:rsidRDefault="00C758D8" w:rsidP="00744FC7">
            <w:pPr>
              <w:jc w:val="center"/>
              <w:rPr>
                <w:sz w:val="24"/>
                <w:szCs w:val="24"/>
                <w:lang w:val="uk-UA"/>
              </w:rPr>
            </w:pPr>
            <w:r w:rsidRPr="00C44B35">
              <w:rPr>
                <w:sz w:val="24"/>
                <w:szCs w:val="24"/>
                <w:lang w:val="uk-UA"/>
              </w:rPr>
              <w:t>2 - 5%</w:t>
            </w:r>
          </w:p>
        </w:tc>
      </w:tr>
      <w:tr w:rsidR="00C758D8" w:rsidRPr="00C44B35" w:rsidTr="00744FC7">
        <w:tc>
          <w:tcPr>
            <w:tcW w:w="849" w:type="dxa"/>
          </w:tcPr>
          <w:p w:rsidR="00C758D8" w:rsidRPr="00C44B35" w:rsidRDefault="00C758D8" w:rsidP="00744FC7">
            <w:pPr>
              <w:jc w:val="center"/>
              <w:rPr>
                <w:sz w:val="24"/>
                <w:szCs w:val="24"/>
                <w:lang w:val="uk-UA"/>
              </w:rPr>
            </w:pPr>
            <w:r w:rsidRPr="00C44B35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6098" w:type="dxa"/>
          </w:tcPr>
          <w:p w:rsidR="00C758D8" w:rsidRPr="00C44B35" w:rsidRDefault="00C758D8" w:rsidP="00744FC7">
            <w:pPr>
              <w:jc w:val="center"/>
              <w:rPr>
                <w:sz w:val="24"/>
                <w:szCs w:val="24"/>
                <w:lang w:val="uk-UA"/>
              </w:rPr>
            </w:pPr>
            <w:r w:rsidRPr="00C44B35">
              <w:rPr>
                <w:sz w:val="24"/>
                <w:szCs w:val="24"/>
                <w:lang w:val="uk-UA"/>
              </w:rPr>
              <w:t>Переобладнання з житлового приміщення в нежитлове</w:t>
            </w:r>
          </w:p>
        </w:tc>
        <w:tc>
          <w:tcPr>
            <w:tcW w:w="3474" w:type="dxa"/>
            <w:vAlign w:val="center"/>
          </w:tcPr>
          <w:p w:rsidR="00C758D8" w:rsidRPr="00C44B35" w:rsidRDefault="00C758D8" w:rsidP="00744FC7">
            <w:pPr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C44B35">
              <w:rPr>
                <w:sz w:val="24"/>
                <w:szCs w:val="24"/>
                <w:lang w:val="uk-UA"/>
              </w:rPr>
              <w:t>50 - 100 грн. за м</w:t>
            </w:r>
            <w:r w:rsidRPr="00C44B35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</w:tbl>
    <w:p w:rsidR="00C758D8" w:rsidRPr="00C44B35" w:rsidRDefault="00C758D8" w:rsidP="00C758D8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758D8" w:rsidRPr="00C44B35" w:rsidRDefault="00C758D8" w:rsidP="00C758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58D8" w:rsidRPr="00C44B35" w:rsidRDefault="00C44B35" w:rsidP="00C758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C758D8"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голова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FE0F8C" w:rsidRPr="00C44B35">
        <w:rPr>
          <w:rFonts w:ascii="Times New Roman" w:hAnsi="Times New Roman" w:cs="Times New Roman"/>
          <w:sz w:val="28"/>
          <w:szCs w:val="28"/>
          <w:lang w:val="uk-UA"/>
        </w:rPr>
        <w:t>А.І.</w:t>
      </w:r>
      <w:proofErr w:type="spellStart"/>
      <w:r w:rsidR="00FE0F8C" w:rsidRPr="00C44B35">
        <w:rPr>
          <w:rFonts w:ascii="Times New Roman" w:hAnsi="Times New Roman" w:cs="Times New Roman"/>
          <w:sz w:val="28"/>
          <w:szCs w:val="28"/>
          <w:lang w:val="uk-UA"/>
        </w:rPr>
        <w:t>Никитюк</w:t>
      </w:r>
      <w:proofErr w:type="spellEnd"/>
      <w:r w:rsidR="00C758D8" w:rsidRPr="00C44B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758D8" w:rsidRPr="00C44B35" w:rsidRDefault="00C758D8" w:rsidP="00C758D8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758D8" w:rsidRPr="00C44B35" w:rsidRDefault="00C758D8" w:rsidP="00C758D8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2179B" w:rsidRPr="00C44B35" w:rsidRDefault="00F2179B" w:rsidP="00C758D8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2179B" w:rsidRPr="00C44B35" w:rsidRDefault="00F2179B" w:rsidP="00C758D8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2179B" w:rsidRPr="00C44B35" w:rsidRDefault="00F2179B" w:rsidP="00C758D8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2179B" w:rsidRDefault="00F2179B" w:rsidP="00C758D8">
      <w:pPr>
        <w:jc w:val="center"/>
        <w:rPr>
          <w:b/>
          <w:sz w:val="24"/>
          <w:szCs w:val="24"/>
          <w:lang w:val="uk-UA"/>
        </w:rPr>
      </w:pPr>
    </w:p>
    <w:p w:rsidR="00F2179B" w:rsidRDefault="00F2179B" w:rsidP="00C758D8">
      <w:pPr>
        <w:jc w:val="center"/>
        <w:rPr>
          <w:b/>
          <w:sz w:val="24"/>
          <w:szCs w:val="24"/>
          <w:lang w:val="uk-UA"/>
        </w:rPr>
      </w:pPr>
    </w:p>
    <w:p w:rsidR="00F2179B" w:rsidRDefault="00F2179B" w:rsidP="00C758D8">
      <w:pPr>
        <w:jc w:val="center"/>
        <w:rPr>
          <w:b/>
          <w:sz w:val="24"/>
          <w:szCs w:val="24"/>
          <w:lang w:val="uk-UA"/>
        </w:rPr>
      </w:pPr>
    </w:p>
    <w:p w:rsidR="00F2179B" w:rsidRDefault="00F2179B" w:rsidP="00C758D8">
      <w:pPr>
        <w:jc w:val="center"/>
        <w:rPr>
          <w:b/>
          <w:sz w:val="24"/>
          <w:szCs w:val="24"/>
          <w:lang w:val="uk-UA"/>
        </w:rPr>
      </w:pPr>
    </w:p>
    <w:p w:rsidR="00F2179B" w:rsidRDefault="00F2179B" w:rsidP="00C758D8">
      <w:pPr>
        <w:jc w:val="center"/>
        <w:rPr>
          <w:b/>
          <w:sz w:val="24"/>
          <w:szCs w:val="24"/>
          <w:lang w:val="uk-UA"/>
        </w:rPr>
      </w:pPr>
    </w:p>
    <w:p w:rsidR="00C758D8" w:rsidRDefault="00C758D8" w:rsidP="00C758D8">
      <w:pPr>
        <w:jc w:val="right"/>
        <w:rPr>
          <w:sz w:val="24"/>
          <w:szCs w:val="24"/>
          <w:lang w:val="uk-UA"/>
        </w:rPr>
      </w:pPr>
    </w:p>
    <w:p w:rsidR="00C44B35" w:rsidRDefault="00C44B35" w:rsidP="00C758D8">
      <w:pPr>
        <w:jc w:val="right"/>
        <w:rPr>
          <w:sz w:val="24"/>
          <w:szCs w:val="24"/>
          <w:lang w:val="uk-UA"/>
        </w:rPr>
      </w:pPr>
    </w:p>
    <w:p w:rsidR="00C44B35" w:rsidRDefault="00C44B35" w:rsidP="00C758D8">
      <w:pPr>
        <w:jc w:val="right"/>
        <w:rPr>
          <w:sz w:val="24"/>
          <w:szCs w:val="24"/>
          <w:lang w:val="uk-UA"/>
        </w:rPr>
      </w:pPr>
    </w:p>
    <w:p w:rsidR="00C44B35" w:rsidRDefault="00F2179B" w:rsidP="00F21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Додаток № 3 </w:t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4B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758D8" w:rsidRPr="00C44B35" w:rsidRDefault="00C44B35" w:rsidP="00F21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</w:t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>«ЗАТВЕРДЖЕНО»</w:t>
      </w:r>
    </w:p>
    <w:p w:rsidR="00C758D8" w:rsidRPr="00C44B35" w:rsidRDefault="00F2179B" w:rsidP="00F21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</w:t>
      </w:r>
      <w:r w:rsidR="00C44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58D8" w:rsidRPr="00C44B35">
        <w:rPr>
          <w:rFonts w:ascii="Times New Roman" w:hAnsi="Times New Roman" w:cs="Times New Roman"/>
          <w:sz w:val="24"/>
          <w:szCs w:val="24"/>
          <w:lang w:val="uk-UA"/>
        </w:rPr>
        <w:t>рішенням сільської ради</w:t>
      </w:r>
    </w:p>
    <w:p w:rsidR="00C758D8" w:rsidRPr="006055E7" w:rsidRDefault="00C758D8" w:rsidP="00F2179B">
      <w:pPr>
        <w:spacing w:after="0" w:line="240" w:lineRule="auto"/>
        <w:jc w:val="both"/>
        <w:rPr>
          <w:sz w:val="24"/>
          <w:szCs w:val="24"/>
          <w:lang w:val="uk-UA"/>
        </w:rPr>
      </w:pP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</w:t>
      </w:r>
      <w:r w:rsidR="00F2179B"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44B35">
        <w:rPr>
          <w:rFonts w:ascii="Times New Roman" w:hAnsi="Times New Roman" w:cs="Times New Roman"/>
          <w:sz w:val="24"/>
          <w:szCs w:val="24"/>
          <w:lang w:val="uk-UA"/>
        </w:rPr>
        <w:t>від ____________</w:t>
      </w:r>
      <w:r w:rsidRPr="00C44B35">
        <w:rPr>
          <w:rFonts w:ascii="Times New Roman" w:hAnsi="Times New Roman" w:cs="Times New Roman"/>
          <w:sz w:val="24"/>
          <w:szCs w:val="24"/>
          <w:lang w:val="uk-UA"/>
        </w:rPr>
        <w:t>№ ______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C758D8" w:rsidRDefault="00C758D8" w:rsidP="00C758D8">
      <w:pPr>
        <w:jc w:val="both"/>
        <w:rPr>
          <w:b/>
          <w:sz w:val="24"/>
          <w:szCs w:val="24"/>
          <w:lang w:val="uk-UA"/>
        </w:rPr>
      </w:pPr>
    </w:p>
    <w:p w:rsidR="00C758D8" w:rsidRPr="0060011F" w:rsidRDefault="00C758D8" w:rsidP="00C758D8">
      <w:pPr>
        <w:jc w:val="center"/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</w:pPr>
      <w:r w:rsidRPr="0060011F">
        <w:rPr>
          <w:rFonts w:ascii="Times New Roman" w:hAnsi="Times New Roman" w:cs="Times New Roman"/>
          <w:b/>
          <w:spacing w:val="20"/>
          <w:sz w:val="28"/>
          <w:szCs w:val="28"/>
          <w:lang w:val="uk-UA"/>
        </w:rPr>
        <w:t>СКЛАД</w:t>
      </w:r>
    </w:p>
    <w:p w:rsidR="00C758D8" w:rsidRPr="0060011F" w:rsidRDefault="00C758D8" w:rsidP="00C758D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комісії по встановленню розмірів внесків на розвиток інженерно-транспортної та соціальної інфраструктури </w:t>
      </w:r>
      <w:proofErr w:type="spellStart"/>
      <w:r w:rsidR="00FE0F8C" w:rsidRPr="0060011F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="00FE0F8C"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011F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</w:p>
    <w:p w:rsidR="00C758D8" w:rsidRPr="0060011F" w:rsidRDefault="00C758D8" w:rsidP="00C758D8">
      <w:pPr>
        <w:tabs>
          <w:tab w:val="left" w:pos="19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0F8C" w:rsidRPr="0060011F" w:rsidRDefault="00C758D8" w:rsidP="00C44B35">
      <w:pPr>
        <w:tabs>
          <w:tab w:val="left" w:pos="1995"/>
          <w:tab w:val="left" w:pos="42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– </w:t>
      </w:r>
      <w:r w:rsidR="00FE0F8C" w:rsidRPr="0060011F">
        <w:rPr>
          <w:rFonts w:ascii="Times New Roman" w:hAnsi="Times New Roman" w:cs="Times New Roman"/>
          <w:b/>
          <w:sz w:val="28"/>
          <w:szCs w:val="28"/>
          <w:lang w:val="uk-UA"/>
        </w:rPr>
        <w:t>Киричук Світлана Миколаївна</w:t>
      </w:r>
      <w:r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 – депутат, голова постійної </w:t>
      </w:r>
      <w:r w:rsidR="00FE0F8C"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FE0F8C" w:rsidRPr="0060011F" w:rsidRDefault="00FE0F8C" w:rsidP="00C44B35">
      <w:pPr>
        <w:tabs>
          <w:tab w:val="left" w:pos="1995"/>
          <w:tab w:val="left" w:pos="423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C44B35"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758D8"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комісії з питань планування місцевого бюджету фінансів </w:t>
      </w:r>
      <w:r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 та     </w:t>
      </w:r>
    </w:p>
    <w:p w:rsidR="00C758D8" w:rsidRPr="0060011F" w:rsidRDefault="00FE0F8C" w:rsidP="00C44B35">
      <w:pPr>
        <w:tabs>
          <w:tab w:val="left" w:pos="1995"/>
          <w:tab w:val="left" w:pos="423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C44B35"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60011F">
        <w:rPr>
          <w:rFonts w:ascii="Times New Roman" w:hAnsi="Times New Roman" w:cs="Times New Roman"/>
          <w:sz w:val="28"/>
          <w:szCs w:val="28"/>
          <w:lang w:val="uk-UA"/>
        </w:rPr>
        <w:t>депутатської діяльності.</w:t>
      </w:r>
    </w:p>
    <w:p w:rsidR="00C758D8" w:rsidRPr="0060011F" w:rsidRDefault="00C758D8" w:rsidP="00C44B35">
      <w:pPr>
        <w:tabs>
          <w:tab w:val="left" w:pos="1995"/>
        </w:tabs>
        <w:spacing w:after="0"/>
        <w:rPr>
          <w:rFonts w:ascii="Times New Roman" w:hAnsi="Times New Roman" w:cs="Times New Roman"/>
          <w:b/>
          <w:spacing w:val="20"/>
          <w:sz w:val="24"/>
          <w:szCs w:val="24"/>
          <w:lang w:val="uk-UA"/>
        </w:rPr>
      </w:pPr>
    </w:p>
    <w:p w:rsidR="00C758D8" w:rsidRPr="0060011F" w:rsidRDefault="00C758D8" w:rsidP="00C758D8">
      <w:pPr>
        <w:tabs>
          <w:tab w:val="left" w:pos="199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комісії – </w:t>
      </w:r>
      <w:r w:rsidR="00FE0F8C" w:rsidRPr="0060011F">
        <w:rPr>
          <w:rFonts w:ascii="Times New Roman" w:hAnsi="Times New Roman" w:cs="Times New Roman"/>
          <w:b/>
          <w:sz w:val="28"/>
          <w:szCs w:val="28"/>
          <w:lang w:val="uk-UA"/>
        </w:rPr>
        <w:t>Динь Тетяна Іванівна</w:t>
      </w:r>
      <w:r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011F">
        <w:rPr>
          <w:rFonts w:ascii="Times New Roman" w:hAnsi="Times New Roman" w:cs="Times New Roman"/>
          <w:sz w:val="28"/>
          <w:szCs w:val="28"/>
          <w:lang w:val="uk-UA"/>
        </w:rPr>
        <w:t>–головний</w:t>
      </w:r>
      <w:proofErr w:type="spellEnd"/>
      <w:r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 бухгалтер </w:t>
      </w:r>
      <w:r w:rsidRPr="0060011F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FE0F8C" w:rsidRPr="0060011F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C758D8" w:rsidRPr="0060011F" w:rsidRDefault="00C758D8" w:rsidP="00C758D8">
      <w:pPr>
        <w:tabs>
          <w:tab w:val="left" w:pos="199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E0F8C" w:rsidRPr="0060011F" w:rsidRDefault="00C758D8" w:rsidP="00C44B35">
      <w:pPr>
        <w:tabs>
          <w:tab w:val="left" w:pos="1995"/>
          <w:tab w:val="left" w:pos="423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комісії –  депутати, члени постійної комісії з питань планування </w:t>
      </w:r>
      <w:r w:rsidR="00FE0F8C"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44B35" w:rsidRPr="0060011F" w:rsidRDefault="00FE0F8C" w:rsidP="00C44B35">
      <w:pPr>
        <w:tabs>
          <w:tab w:val="left" w:pos="1995"/>
          <w:tab w:val="left" w:pos="423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C44B35"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C758D8"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місцевого бюджету фінансів </w:t>
      </w:r>
      <w:proofErr w:type="spellStart"/>
      <w:r w:rsidRPr="0060011F">
        <w:rPr>
          <w:rFonts w:ascii="Times New Roman" w:hAnsi="Times New Roman" w:cs="Times New Roman"/>
          <w:sz w:val="28"/>
          <w:szCs w:val="28"/>
          <w:lang w:val="uk-UA"/>
        </w:rPr>
        <w:t>фінансів</w:t>
      </w:r>
      <w:proofErr w:type="spellEnd"/>
      <w:r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  та  депутатської </w:t>
      </w:r>
      <w:r w:rsidR="00C44B35"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F160C9" w:rsidRPr="0060011F" w:rsidRDefault="00C44B35" w:rsidP="00C44B35">
      <w:pPr>
        <w:tabs>
          <w:tab w:val="left" w:pos="1995"/>
          <w:tab w:val="left" w:pos="423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011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FE0F8C" w:rsidRPr="0060011F">
        <w:rPr>
          <w:rFonts w:ascii="Times New Roman" w:hAnsi="Times New Roman" w:cs="Times New Roman"/>
          <w:sz w:val="28"/>
          <w:szCs w:val="28"/>
          <w:lang w:val="uk-UA"/>
        </w:rPr>
        <w:t>діяльності.</w:t>
      </w:r>
    </w:p>
    <w:p w:rsidR="00C758D8" w:rsidRPr="0060011F" w:rsidRDefault="00F160C9" w:rsidP="00C44B35">
      <w:pPr>
        <w:tabs>
          <w:tab w:val="left" w:pos="1995"/>
          <w:tab w:val="left" w:pos="423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011F">
        <w:rPr>
          <w:rFonts w:ascii="Times New Roman" w:hAnsi="Times New Roman" w:cs="Times New Roman"/>
          <w:b/>
          <w:sz w:val="28"/>
          <w:szCs w:val="28"/>
          <w:lang w:val="uk-UA"/>
        </w:rPr>
        <w:t>Киричук Катерина Дмитрівна</w:t>
      </w:r>
    </w:p>
    <w:p w:rsidR="00F160C9" w:rsidRPr="0060011F" w:rsidRDefault="00F160C9" w:rsidP="00C44B35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011F">
        <w:rPr>
          <w:rFonts w:ascii="Times New Roman" w:hAnsi="Times New Roman" w:cs="Times New Roman"/>
          <w:b/>
          <w:sz w:val="28"/>
          <w:szCs w:val="28"/>
          <w:lang w:val="uk-UA"/>
        </w:rPr>
        <w:t>Солодуха Віктор Васильович</w:t>
      </w:r>
    </w:p>
    <w:p w:rsidR="00F160C9" w:rsidRPr="0060011F" w:rsidRDefault="00F160C9" w:rsidP="00C44B35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0011F">
        <w:rPr>
          <w:rFonts w:ascii="Times New Roman" w:hAnsi="Times New Roman" w:cs="Times New Roman"/>
          <w:b/>
          <w:sz w:val="28"/>
          <w:szCs w:val="28"/>
          <w:lang w:val="uk-UA"/>
        </w:rPr>
        <w:t>Баляс</w:t>
      </w:r>
      <w:proofErr w:type="spellEnd"/>
      <w:r w:rsidRPr="006001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Лілія Володимирівна</w:t>
      </w:r>
    </w:p>
    <w:p w:rsidR="00F160C9" w:rsidRPr="0060011F" w:rsidRDefault="00F160C9" w:rsidP="00C44B35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011F">
        <w:rPr>
          <w:rFonts w:ascii="Times New Roman" w:hAnsi="Times New Roman" w:cs="Times New Roman"/>
          <w:b/>
          <w:sz w:val="28"/>
          <w:szCs w:val="28"/>
          <w:lang w:val="uk-UA"/>
        </w:rPr>
        <w:t>Денисюк Святослав Васильович</w:t>
      </w:r>
    </w:p>
    <w:p w:rsidR="00F160C9" w:rsidRPr="0060011F" w:rsidRDefault="00F160C9" w:rsidP="00C44B35">
      <w:pPr>
        <w:tabs>
          <w:tab w:val="left" w:pos="199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0011F">
        <w:rPr>
          <w:rFonts w:ascii="Times New Roman" w:hAnsi="Times New Roman" w:cs="Times New Roman"/>
          <w:b/>
          <w:sz w:val="28"/>
          <w:szCs w:val="28"/>
          <w:lang w:val="uk-UA"/>
        </w:rPr>
        <w:t>Антощук</w:t>
      </w:r>
      <w:proofErr w:type="spellEnd"/>
      <w:r w:rsidRPr="006001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Іванна Петрівна</w:t>
      </w:r>
    </w:p>
    <w:p w:rsidR="00C758D8" w:rsidRPr="0060011F" w:rsidRDefault="00C758D8" w:rsidP="00C44B35">
      <w:pPr>
        <w:tabs>
          <w:tab w:val="left" w:pos="199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758D8" w:rsidRPr="0060011F" w:rsidRDefault="00C758D8" w:rsidP="00C758D8">
      <w:pPr>
        <w:tabs>
          <w:tab w:val="left" w:pos="199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2179B" w:rsidRPr="0060011F" w:rsidRDefault="00F2179B" w:rsidP="00C758D8">
      <w:pPr>
        <w:tabs>
          <w:tab w:val="left" w:pos="199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2179B" w:rsidRPr="0060011F" w:rsidRDefault="00F2179B" w:rsidP="00C758D8">
      <w:pPr>
        <w:tabs>
          <w:tab w:val="left" w:pos="199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2179B" w:rsidRDefault="00F2179B" w:rsidP="00C758D8">
      <w:pPr>
        <w:tabs>
          <w:tab w:val="left" w:pos="1995"/>
        </w:tabs>
        <w:rPr>
          <w:sz w:val="28"/>
          <w:szCs w:val="28"/>
          <w:lang w:val="uk-UA"/>
        </w:rPr>
      </w:pPr>
    </w:p>
    <w:p w:rsidR="00F2179B" w:rsidRDefault="00F2179B" w:rsidP="00C758D8">
      <w:pPr>
        <w:tabs>
          <w:tab w:val="left" w:pos="1995"/>
        </w:tabs>
        <w:rPr>
          <w:sz w:val="28"/>
          <w:szCs w:val="28"/>
          <w:lang w:val="uk-UA"/>
        </w:rPr>
      </w:pPr>
    </w:p>
    <w:p w:rsidR="00F2179B" w:rsidRDefault="00F2179B" w:rsidP="00C758D8">
      <w:pPr>
        <w:tabs>
          <w:tab w:val="left" w:pos="1995"/>
        </w:tabs>
        <w:rPr>
          <w:sz w:val="28"/>
          <w:szCs w:val="28"/>
          <w:lang w:val="uk-UA"/>
        </w:rPr>
      </w:pPr>
    </w:p>
    <w:p w:rsidR="00F2179B" w:rsidRPr="00A6214E" w:rsidRDefault="00F2179B" w:rsidP="00C758D8">
      <w:pPr>
        <w:tabs>
          <w:tab w:val="left" w:pos="1995"/>
        </w:tabs>
        <w:rPr>
          <w:sz w:val="28"/>
          <w:szCs w:val="28"/>
          <w:lang w:val="uk-UA"/>
        </w:rPr>
      </w:pPr>
    </w:p>
    <w:p w:rsidR="00BB62A3" w:rsidRDefault="00BB62A3" w:rsidP="00BB62A3">
      <w:pPr>
        <w:jc w:val="both"/>
        <w:rPr>
          <w:sz w:val="28"/>
          <w:szCs w:val="28"/>
          <w:lang w:val="uk-UA"/>
        </w:rPr>
      </w:pPr>
    </w:p>
    <w:p w:rsidR="00BB62A3" w:rsidRPr="00D632E8" w:rsidRDefault="00BB62A3" w:rsidP="00D632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32E8">
        <w:rPr>
          <w:rStyle w:val="a9"/>
          <w:rFonts w:ascii="Times New Roman" w:hAnsi="Times New Roman" w:cs="Times New Roman"/>
          <w:sz w:val="28"/>
          <w:szCs w:val="28"/>
          <w:lang w:val="uk-UA"/>
        </w:rPr>
        <w:lastRenderedPageBreak/>
        <w:t>Аналіз регуляторного впливу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632E8">
        <w:rPr>
          <w:rStyle w:val="a9"/>
          <w:rFonts w:ascii="Times New Roman" w:hAnsi="Times New Roman" w:cs="Times New Roman"/>
          <w:sz w:val="28"/>
          <w:szCs w:val="28"/>
          <w:lang w:val="uk-UA"/>
        </w:rPr>
        <w:t xml:space="preserve">проекту рішення </w:t>
      </w:r>
      <w:proofErr w:type="spellStart"/>
      <w:r w:rsidRPr="00D632E8">
        <w:rPr>
          <w:rStyle w:val="a9"/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Pr="00D632E8">
        <w:rPr>
          <w:rStyle w:val="a9"/>
          <w:rFonts w:ascii="Times New Roman" w:hAnsi="Times New Roman" w:cs="Times New Roman"/>
          <w:sz w:val="28"/>
          <w:szCs w:val="28"/>
          <w:lang w:val="uk-UA"/>
        </w:rPr>
        <w:t xml:space="preserve"> сільської  ради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Style w:val="a9"/>
          <w:lang w:val="uk-UA"/>
        </w:rPr>
        <w:t>«</w:t>
      </w:r>
      <w:r w:rsidR="00D632E8" w:rsidRPr="00D632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встановлення розмірів відрахувань на розвиток інженерно </w:t>
      </w:r>
      <w:proofErr w:type="spellStart"/>
      <w:r w:rsidR="00D632E8" w:rsidRPr="00D632E8">
        <w:rPr>
          <w:rFonts w:ascii="Times New Roman" w:hAnsi="Times New Roman" w:cs="Times New Roman"/>
          <w:b/>
          <w:sz w:val="28"/>
          <w:szCs w:val="28"/>
          <w:lang w:val="uk-UA"/>
        </w:rPr>
        <w:t>-транспортної</w:t>
      </w:r>
      <w:proofErr w:type="spellEnd"/>
      <w:r w:rsidR="00D632E8" w:rsidRPr="00D632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соціальної інфраструктури </w:t>
      </w:r>
      <w:proofErr w:type="spellStart"/>
      <w:r w:rsidR="00D632E8" w:rsidRPr="00D632E8">
        <w:rPr>
          <w:rFonts w:ascii="Times New Roman" w:hAnsi="Times New Roman" w:cs="Times New Roman"/>
          <w:b/>
          <w:sz w:val="28"/>
          <w:szCs w:val="28"/>
          <w:lang w:val="uk-UA"/>
        </w:rPr>
        <w:t>Лудинської</w:t>
      </w:r>
      <w:proofErr w:type="spellEnd"/>
      <w:r w:rsidR="00D632E8" w:rsidRPr="00D632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  <w:r w:rsidRPr="00D632E8">
        <w:rPr>
          <w:rStyle w:val="a9"/>
          <w:b w:val="0"/>
          <w:lang w:val="uk-UA"/>
        </w:rPr>
        <w:t>»</w:t>
      </w:r>
    </w:p>
    <w:p w:rsidR="00BB62A3" w:rsidRDefault="00BB62A3" w:rsidP="00BB62A3">
      <w:pPr>
        <w:pStyle w:val="a8"/>
        <w:jc w:val="both"/>
        <w:rPr>
          <w:lang w:val="uk-UA"/>
        </w:rPr>
      </w:pPr>
      <w:r>
        <w:t> </w:t>
      </w:r>
    </w:p>
    <w:p w:rsidR="00BB62A3" w:rsidRPr="00D632E8" w:rsidRDefault="00BB62A3" w:rsidP="00D632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виконкомом </w:t>
      </w:r>
      <w:proofErr w:type="spellStart"/>
      <w:r w:rsidR="00D632E8" w:rsidRPr="00D632E8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> 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проект рішення </w:t>
      </w:r>
      <w:proofErr w:type="spellStart"/>
      <w:r w:rsidR="00D632E8" w:rsidRPr="00D632E8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="00D632E8"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«Про затвердження Порядку пайової участі замовників у розвитку інженерно-транспортної та соціальної інфраструктури </w:t>
      </w:r>
      <w:r w:rsidR="0060011F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ради"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D632E8">
        <w:rPr>
          <w:rStyle w:val="a9"/>
          <w:rFonts w:ascii="Times New Roman" w:hAnsi="Times New Roman" w:cs="Times New Roman"/>
          <w:sz w:val="28"/>
          <w:szCs w:val="28"/>
        </w:rPr>
        <w:t>        </w:t>
      </w:r>
      <w:r w:rsidRPr="00D632E8">
        <w:rPr>
          <w:rStyle w:val="a9"/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B62A3" w:rsidRPr="00D632E8" w:rsidRDefault="00BB62A3" w:rsidP="00D632E8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ідготовлено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40 Закону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</w:rPr>
        <w:t xml:space="preserve">«Про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».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вимагає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комплексного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багатьох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проблем,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пов'язаних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поліпшенням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стану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подальшим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оновленням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реконструкція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фінансується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D632E8">
        <w:rPr>
          <w:rFonts w:ascii="Times New Roman" w:hAnsi="Times New Roman" w:cs="Times New Roman"/>
          <w:sz w:val="28"/>
          <w:szCs w:val="28"/>
        </w:rPr>
        <w:t xml:space="preserve"> бюджету.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внески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інвесторів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) за право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реалізувати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дасть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компенсувати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відтворення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залучити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</w:rPr>
        <w:t xml:space="preserve">до благоустрою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2E8" w:rsidRPr="00D632E8">
        <w:rPr>
          <w:rFonts w:ascii="Times New Roman" w:hAnsi="Times New Roman" w:cs="Times New Roman"/>
          <w:sz w:val="28"/>
          <w:szCs w:val="28"/>
          <w:lang w:val="uk-UA"/>
        </w:rPr>
        <w:t>Лудинською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</w:t>
      </w:r>
      <w:r w:rsidRPr="00D632E8">
        <w:rPr>
          <w:rFonts w:ascii="Times New Roman" w:hAnsi="Times New Roman" w:cs="Times New Roman"/>
          <w:sz w:val="28"/>
          <w:szCs w:val="28"/>
        </w:rPr>
        <w:t xml:space="preserve"> радою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розроблявся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забудовників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визначений</w:t>
      </w:r>
      <w:proofErr w:type="spellEnd"/>
      <w:r w:rsidRPr="00D632E8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</w:rPr>
        <w:t xml:space="preserve">Законом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"Про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виникла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Порядку,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передбачав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узагальнюючий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вищевказаного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іально-економічного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зазначити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діючими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ішеннями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2E8" w:rsidRPr="00D632E8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D632E8">
        <w:rPr>
          <w:rFonts w:ascii="Times New Roman" w:hAnsi="Times New Roman" w:cs="Times New Roman"/>
          <w:sz w:val="28"/>
          <w:szCs w:val="28"/>
        </w:rPr>
        <w:t xml:space="preserve"> ради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врегульовано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фонду бюджету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через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виникають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: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більшість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забудовників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залучаються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облаштуванні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;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пошкодження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існуючої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будь-якого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боку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стримується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ресурсу бюджету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розв'язання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населеного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пункту;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недостатня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капітального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ремонту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фонду,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інженерно-технічних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мереж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водовідведення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теплопостачання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32E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офіційно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не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визначено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уповноважені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своєчасністю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повнотою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реєструвати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заяви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готувати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договори про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участь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lastRenderedPageBreak/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створенні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вищезазначених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проблем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можливе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2E8" w:rsidRPr="00D632E8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D632E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узагальненого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Порядку про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участь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32E8" w:rsidRPr="00D632E8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регулюватиме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зобов'язання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внесків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забудовників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проблема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негативний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: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фізичні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юридичні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особи,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потерпають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аварій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зношеної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водопровідної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каналізаційної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систем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гальмуванням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водії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транспортних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незадовільний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proofErr w:type="gramStart"/>
      <w:r w:rsidRPr="00D632E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br/>
        <w:t xml:space="preserve">-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інвестори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незадоволені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станом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Pr="00D632E8">
        <w:rPr>
          <w:rFonts w:ascii="Times New Roman" w:hAnsi="Times New Roman" w:cs="Times New Roman"/>
          <w:sz w:val="28"/>
          <w:szCs w:val="28"/>
        </w:rPr>
        <w:t>;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суб'єкти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виконують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ремонтно-будівельні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бюджетні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отримують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вчасний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розрахунок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32E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бюджеті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Специфіка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економічних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виникають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</w:t>
      </w:r>
      <w:r w:rsidRPr="00D632E8">
        <w:rPr>
          <w:rFonts w:ascii="Times New Roman" w:hAnsi="Times New Roman" w:cs="Times New Roman"/>
          <w:sz w:val="28"/>
          <w:szCs w:val="28"/>
        </w:rPr>
        <w:t xml:space="preserve"> громадою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суб'єктами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ідприємницької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приводу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володіння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інфраструктурою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в тому,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об'єктом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суспільного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визначенням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бути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об'єктом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прямих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економічних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купівлі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- продажу.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Ринок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формувати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32E8">
        <w:rPr>
          <w:rFonts w:ascii="Times New Roman" w:hAnsi="Times New Roman" w:cs="Times New Roman"/>
          <w:sz w:val="28"/>
          <w:szCs w:val="28"/>
        </w:rPr>
        <w:t>попит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Таким чином,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компенсація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</w:t>
      </w:r>
      <w:r w:rsidRPr="00D632E8">
        <w:rPr>
          <w:rFonts w:ascii="Times New Roman" w:hAnsi="Times New Roman" w:cs="Times New Roman"/>
          <w:sz w:val="28"/>
          <w:szCs w:val="28"/>
        </w:rPr>
        <w:t xml:space="preserve"> бюджету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розширене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відтворення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здійснюватись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обов'язковим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врахуванням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споживчої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інвесторів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забудовників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) так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значимості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>.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40 Закону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встановлюються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граничні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нормативи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враховують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регіональних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особливостей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значимості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першою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вищезазначеної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встановлено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розміру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населеного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пункту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встановлюють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Закону.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Запропонований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проект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спрямований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деталізацію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нормативів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ідрахувань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розширене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відтворення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врахування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варіантів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реконструкції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розширення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врахування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інвестиційних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значимість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додатковим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надходженням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D632E8">
        <w:rPr>
          <w:rFonts w:ascii="Times New Roman" w:hAnsi="Times New Roman" w:cs="Times New Roman"/>
          <w:sz w:val="28"/>
          <w:szCs w:val="28"/>
        </w:rPr>
        <w:t xml:space="preserve"> бюджету;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стимулювати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інвесторів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забудовників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)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раціонального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ефективного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lastRenderedPageBreak/>
        <w:t>об'єктів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створювати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чітко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категорій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Метою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механізму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залучених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мети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наступних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D632E8">
        <w:rPr>
          <w:rFonts w:ascii="Times New Roman" w:hAnsi="Times New Roman" w:cs="Times New Roman"/>
          <w:sz w:val="28"/>
          <w:szCs w:val="28"/>
        </w:rPr>
        <w:t xml:space="preserve"> :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методики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одержання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вихідних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проектування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будівельних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робі</w:t>
      </w:r>
      <w:proofErr w:type="gramStart"/>
      <w:r w:rsidRPr="00D632E8">
        <w:rPr>
          <w:rFonts w:ascii="Times New Roman" w:hAnsi="Times New Roman" w:cs="Times New Roman"/>
          <w:sz w:val="28"/>
          <w:szCs w:val="28"/>
        </w:rPr>
        <w:t>т</w:t>
      </w:r>
      <w:proofErr w:type="spellEnd"/>
      <w:proofErr w:type="gramEnd"/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уповноваження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  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сільської </w:t>
      </w:r>
      <w:r w:rsidRPr="00D632E8">
        <w:rPr>
          <w:rFonts w:ascii="Times New Roman" w:hAnsi="Times New Roman" w:cs="Times New Roman"/>
          <w:sz w:val="28"/>
          <w:szCs w:val="28"/>
        </w:rPr>
        <w:t xml:space="preserve">   ради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контролю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своєчасністю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повнотою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укладення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участь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іально-економічному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;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швидким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 темпам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належному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інвесторів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32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економіку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обраного способу регулювання - забезпечує цілі регулювання порядку залучення сільською радою коштів замовників будівництва для пайової участі в розвитку інженерно-транспортної та соціальної інфраструктури сільської ради;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br/>
        <w:t xml:space="preserve">- збільшує надходження до спеціального цільового фонду бюджету сільської ради;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br/>
        <w:t xml:space="preserve">- забезпечує вимоги діючого законодавства щодо встановлення порядку розрахунку та розміру пайової участі у розвитку інфраструктури сільської ради;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br/>
        <w:t xml:space="preserve">-  - забезпечує залучення громади у вирішення основних питань щодо соціально-економічного розвитку сільської ради.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Механізмом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є: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введення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правового порядку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сільською </w:t>
      </w:r>
      <w:r w:rsidRPr="00D632E8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делегування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структурним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підрозділам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D632E8">
        <w:rPr>
          <w:rFonts w:ascii="Times New Roman" w:hAnsi="Times New Roman" w:cs="Times New Roman"/>
          <w:sz w:val="28"/>
          <w:szCs w:val="28"/>
        </w:rPr>
        <w:t xml:space="preserve">   ради   права   для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врегулювання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взаємовідносин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  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D632E8">
        <w:rPr>
          <w:rFonts w:ascii="Times New Roman" w:hAnsi="Times New Roman" w:cs="Times New Roman"/>
          <w:sz w:val="28"/>
          <w:szCs w:val="28"/>
        </w:rPr>
        <w:t xml:space="preserve">  ради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договірних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;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цільового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іально-економічного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  для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капітальних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вкладень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в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 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приведення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діючих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нормативно-правових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.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73 Закону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прийняті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обов'язкові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всіма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розташованими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відповідній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об'єднаннями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підприємствами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установами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посадовими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особами, 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lastRenderedPageBreak/>
        <w:t>громадянами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тимчасово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проживають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відповідній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.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інвесторів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 дозволить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реконструювати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діючі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об'єкти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івномірному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всій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обґрунтована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запропоноване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прозорість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встановленню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чіткої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процедури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D632E8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.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забезпечить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прозорого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організаційно-економічного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механізму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розмірів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інвесторів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забудовників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) та дозволить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сформувати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науково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обґрунтоване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нормативно-методичне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розширеного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відтворення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>.</w:t>
      </w:r>
    </w:p>
    <w:p w:rsidR="00BB62A3" w:rsidRPr="00D632E8" w:rsidRDefault="00BB62A3" w:rsidP="00D632E8">
      <w:pPr>
        <w:pStyle w:val="a8"/>
        <w:rPr>
          <w:rFonts w:ascii="Times New Roman" w:hAnsi="Times New Roman" w:cs="Times New Roman"/>
          <w:sz w:val="28"/>
          <w:szCs w:val="28"/>
        </w:rPr>
      </w:pPr>
      <w:r w:rsidRPr="00D632E8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45"/>
        <w:gridCol w:w="4393"/>
        <w:gridCol w:w="2062"/>
      </w:tblGrid>
      <w:tr w:rsidR="00BB62A3" w:rsidRPr="00D632E8" w:rsidTr="00BB62A3">
        <w:trPr>
          <w:tblCellSpacing w:w="15" w:type="dxa"/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2A3" w:rsidRPr="00D632E8" w:rsidRDefault="00BB62A3" w:rsidP="00D632E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Сфера </w:t>
            </w: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впливу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регуляторного акта 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2A3" w:rsidRPr="00D632E8" w:rsidRDefault="00BB62A3" w:rsidP="00D632E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Вигоди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2A3" w:rsidRPr="00D632E8" w:rsidRDefault="00BB62A3" w:rsidP="00D632E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B62A3" w:rsidRPr="00D632E8" w:rsidTr="00BB62A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2A3" w:rsidRPr="00D632E8" w:rsidRDefault="00BB62A3" w:rsidP="00D632E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Влада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62A3" w:rsidRPr="00D632E8" w:rsidRDefault="00BB62A3" w:rsidP="00D632E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Збільшення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надходжень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proofErr w:type="gram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32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сільського</w:t>
            </w:r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бюджету. </w:t>
            </w: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Вирішення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proofErr w:type="spellStart"/>
            <w:proofErr w:type="gram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іальних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   та </w:t>
            </w: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економічних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проблем, </w:t>
            </w: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пов'язаних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    </w:t>
            </w: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фінансуванням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>інфраструктури</w:t>
            </w:r>
            <w:proofErr w:type="spellEnd"/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32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сільської ради</w:t>
            </w:r>
            <w:r w:rsidRPr="00D63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62A3" w:rsidRPr="00D632E8" w:rsidRDefault="00BB62A3" w:rsidP="00D632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BB62A3" w:rsidRPr="00D632E8" w:rsidTr="00BB62A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70"/>
            </w:tblGrid>
            <w:tr w:rsidR="00BB62A3" w:rsidRPr="00D632E8">
              <w:trPr>
                <w:tblCellSpacing w:w="0" w:type="dxa"/>
                <w:jc w:val="center"/>
              </w:trPr>
              <w:tc>
                <w:tcPr>
                  <w:tcW w:w="3150" w:type="dxa"/>
                  <w:hideMark/>
                </w:tcPr>
                <w:p w:rsidR="00BB62A3" w:rsidRPr="00D632E8" w:rsidRDefault="00BB62A3" w:rsidP="00D632E8">
                  <w:pPr>
                    <w:pStyle w:val="a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Суб'єкти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господарювання</w:t>
                  </w:r>
                  <w:proofErr w:type="spellEnd"/>
                </w:p>
              </w:tc>
            </w:tr>
          </w:tbl>
          <w:p w:rsidR="00BB62A3" w:rsidRPr="00D632E8" w:rsidRDefault="00BB62A3" w:rsidP="00D632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30"/>
            </w:tblGrid>
            <w:tr w:rsidR="00BB62A3" w:rsidRPr="00D632E8">
              <w:trPr>
                <w:tblCellSpacing w:w="0" w:type="dxa"/>
                <w:jc w:val="center"/>
              </w:trPr>
              <w:tc>
                <w:tcPr>
                  <w:tcW w:w="4230" w:type="dxa"/>
                  <w:hideMark/>
                </w:tcPr>
                <w:p w:rsidR="00BB62A3" w:rsidRPr="00D632E8" w:rsidRDefault="00BB62A3" w:rsidP="00D632E8">
                  <w:pPr>
                    <w:pStyle w:val="a8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Право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реалізувати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proofErr w:type="gram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св</w:t>
                  </w:r>
                  <w:proofErr w:type="gram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ій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проект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будівництва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території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сільської ради</w:t>
                  </w:r>
                </w:p>
              </w:tc>
            </w:tr>
          </w:tbl>
          <w:p w:rsidR="00BB62A3" w:rsidRPr="00D632E8" w:rsidRDefault="00BB62A3" w:rsidP="00D632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87"/>
            </w:tblGrid>
            <w:tr w:rsidR="00BB62A3" w:rsidRPr="00D632E8">
              <w:trPr>
                <w:tblCellSpacing w:w="0" w:type="dxa"/>
                <w:jc w:val="center"/>
              </w:trPr>
              <w:tc>
                <w:tcPr>
                  <w:tcW w:w="2355" w:type="dxa"/>
                  <w:hideMark/>
                </w:tcPr>
                <w:p w:rsidR="00BB62A3" w:rsidRPr="00D632E8" w:rsidRDefault="00BB62A3" w:rsidP="00D632E8">
                  <w:pPr>
                    <w:pStyle w:val="a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Сплата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пайової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участі</w:t>
                  </w:r>
                  <w:proofErr w:type="spellEnd"/>
                </w:p>
              </w:tc>
            </w:tr>
          </w:tbl>
          <w:p w:rsidR="00BB62A3" w:rsidRPr="00D632E8" w:rsidRDefault="00BB62A3" w:rsidP="00D632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62A3" w:rsidRPr="00D632E8" w:rsidTr="00BB62A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70"/>
            </w:tblGrid>
            <w:tr w:rsidR="00BB62A3" w:rsidRPr="00D632E8">
              <w:trPr>
                <w:tblCellSpacing w:w="0" w:type="dxa"/>
                <w:jc w:val="center"/>
              </w:trPr>
              <w:tc>
                <w:tcPr>
                  <w:tcW w:w="3150" w:type="dxa"/>
                  <w:hideMark/>
                </w:tcPr>
                <w:p w:rsidR="00BB62A3" w:rsidRPr="00D632E8" w:rsidRDefault="00BB62A3" w:rsidP="00D632E8">
                  <w:pPr>
                    <w:pStyle w:val="a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Громадяни</w:t>
                  </w:r>
                  <w:proofErr w:type="spellEnd"/>
                </w:p>
              </w:tc>
            </w:tr>
          </w:tbl>
          <w:p w:rsidR="00BB62A3" w:rsidRPr="00D632E8" w:rsidRDefault="00BB62A3" w:rsidP="00D632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30"/>
            </w:tblGrid>
            <w:tr w:rsidR="00BB62A3" w:rsidRPr="00D632E8">
              <w:trPr>
                <w:tblCellSpacing w:w="0" w:type="dxa"/>
                <w:jc w:val="center"/>
              </w:trPr>
              <w:tc>
                <w:tcPr>
                  <w:tcW w:w="4230" w:type="dxa"/>
                  <w:hideMark/>
                </w:tcPr>
                <w:p w:rsidR="00BB62A3" w:rsidRPr="00D632E8" w:rsidRDefault="00BB62A3" w:rsidP="00D632E8">
                  <w:pPr>
                    <w:pStyle w:val="a8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Покращення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proofErr w:type="gram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  <w:proofErr w:type="gram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івня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життя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соціального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забезпечення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населення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основі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створення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благодатних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умов для </w:t>
                  </w:r>
                  <w:proofErr w:type="spellStart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розвитку</w:t>
                  </w:r>
                  <w:proofErr w:type="spellEnd"/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D632E8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сільської ради</w:t>
                  </w:r>
                </w:p>
              </w:tc>
            </w:tr>
          </w:tbl>
          <w:p w:rsidR="00BB62A3" w:rsidRPr="00D632E8" w:rsidRDefault="00BB62A3" w:rsidP="00D632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62A3" w:rsidRPr="00D632E8" w:rsidRDefault="00BB62A3" w:rsidP="00D632E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3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BB62A3" w:rsidRPr="00D632E8" w:rsidRDefault="00BB62A3" w:rsidP="00D632E8">
      <w:pPr>
        <w:pStyle w:val="a8"/>
        <w:rPr>
          <w:rFonts w:ascii="Times New Roman" w:hAnsi="Times New Roman" w:cs="Times New Roman"/>
          <w:sz w:val="28"/>
          <w:szCs w:val="28"/>
        </w:rPr>
      </w:pPr>
      <w:r w:rsidRPr="00D632E8">
        <w:rPr>
          <w:rFonts w:ascii="Times New Roman" w:hAnsi="Times New Roman" w:cs="Times New Roman"/>
          <w:sz w:val="28"/>
          <w:szCs w:val="28"/>
        </w:rPr>
        <w:t> </w:t>
      </w:r>
    </w:p>
    <w:p w:rsidR="00BB62A3" w:rsidRPr="00D632E8" w:rsidRDefault="00BB62A3" w:rsidP="00D632E8">
      <w:pPr>
        <w:pStyle w:val="a8"/>
        <w:rPr>
          <w:rFonts w:ascii="Times New Roman" w:hAnsi="Times New Roman" w:cs="Times New Roman"/>
          <w:sz w:val="28"/>
          <w:szCs w:val="28"/>
        </w:rPr>
      </w:pPr>
      <w:r w:rsidRPr="00D632E8">
        <w:rPr>
          <w:rFonts w:ascii="Times New Roman" w:hAnsi="Times New Roman" w:cs="Times New Roman"/>
          <w:sz w:val="28"/>
          <w:szCs w:val="28"/>
        </w:rPr>
        <w:t> </w:t>
      </w:r>
    </w:p>
    <w:p w:rsidR="00BB62A3" w:rsidRPr="00D632E8" w:rsidRDefault="00BB62A3" w:rsidP="00D632E8">
      <w:pPr>
        <w:pStyle w:val="a8"/>
        <w:rPr>
          <w:rFonts w:ascii="Times New Roman" w:hAnsi="Times New Roman" w:cs="Times New Roman"/>
          <w:sz w:val="28"/>
          <w:szCs w:val="28"/>
        </w:rPr>
      </w:pPr>
      <w:r w:rsidRPr="00D632E8">
        <w:rPr>
          <w:rFonts w:ascii="Times New Roman" w:hAnsi="Times New Roman" w:cs="Times New Roman"/>
          <w:sz w:val="28"/>
          <w:szCs w:val="28"/>
        </w:rPr>
        <w:t xml:space="preserve">   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не буде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потребувати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D632E8">
        <w:rPr>
          <w:rFonts w:ascii="Times New Roman" w:hAnsi="Times New Roman" w:cs="Times New Roman"/>
          <w:sz w:val="28"/>
          <w:szCs w:val="28"/>
        </w:rPr>
        <w:t xml:space="preserve"> бюджету.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значним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зовнішнім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фактором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Укра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їни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призвести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регуляторного акта.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Передбачається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обмежувати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строк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запропонованого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регуляторного акта. В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потреби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вноситимуться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ідсумками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Пропонується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: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r w:rsidRPr="00D632E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пов'язаних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дією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акта -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неможливо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спрогнозувати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бюджету 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поширюється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запропонованого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акта   -  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суб'єкти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інвесторами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   (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),  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залучаються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>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поінформованості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акта 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кількістю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: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а)   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прочитають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зазначене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друкованих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засобах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 результатами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оприлюднення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б)      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отримають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регуляторний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акт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запитами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; 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в)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отримають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регуляторний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акт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шляхами. </w:t>
      </w:r>
      <w:r w:rsidRPr="00D632E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Передбачається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середній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поінформованості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суб'єктів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акта за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оприлюднення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самого проекту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2E8" w:rsidRPr="00D632E8">
        <w:rPr>
          <w:rFonts w:ascii="Times New Roman" w:hAnsi="Times New Roman" w:cs="Times New Roman"/>
          <w:sz w:val="28"/>
          <w:szCs w:val="28"/>
          <w:lang w:val="uk-UA"/>
        </w:rPr>
        <w:t>Лудинської</w:t>
      </w:r>
      <w:proofErr w:type="spellEnd"/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D632E8">
        <w:rPr>
          <w:rFonts w:ascii="Times New Roman" w:hAnsi="Times New Roman" w:cs="Times New Roman"/>
          <w:sz w:val="28"/>
          <w:szCs w:val="28"/>
        </w:rPr>
        <w:t xml:space="preserve"> ради «Про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замовників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r w:rsidRPr="00D632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D632E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аналізом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регуляторного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Окрім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офіційно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опубліковано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вимогами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«Про засади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»  в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друкованих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засобах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;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D632E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час,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витрачатимуться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суб'єктами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пов'язаними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акта -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витрачаються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суб'єктами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фізичними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особами,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пов'язаними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акта не становить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граничного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розміру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пайової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інженерно-транспортної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визначеного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діючим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Порядком;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часу,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пов'язані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акта -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перевищувати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календарних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>.</w:t>
      </w:r>
      <w:r w:rsidRPr="00D632E8">
        <w:rPr>
          <w:rFonts w:ascii="Times New Roman" w:hAnsi="Times New Roman" w:cs="Times New Roman"/>
          <w:sz w:val="28"/>
          <w:szCs w:val="28"/>
        </w:rPr>
        <w:br/>
        <w:t xml:space="preserve">Для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регуляторного акта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планується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статистичних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можливим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проведенням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іологічного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опитування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повторного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відстеження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регуляторного акта буде проведено не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раніше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proofErr w:type="gramStart"/>
      <w:r w:rsidRPr="00D632E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632E8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набрання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 ним </w:t>
      </w:r>
      <w:proofErr w:type="spellStart"/>
      <w:r w:rsidRPr="00D632E8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D632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62A3" w:rsidRPr="00D632E8" w:rsidRDefault="00BB62A3" w:rsidP="00D632E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B62A3" w:rsidRPr="00D632E8" w:rsidRDefault="00BB62A3" w:rsidP="00D632E8">
      <w:pPr>
        <w:rPr>
          <w:rFonts w:ascii="Times New Roman" w:hAnsi="Times New Roman" w:cs="Times New Roman"/>
          <w:sz w:val="28"/>
          <w:szCs w:val="28"/>
        </w:rPr>
      </w:pPr>
    </w:p>
    <w:p w:rsidR="00BB62A3" w:rsidRPr="00D632E8" w:rsidRDefault="00BB62A3" w:rsidP="00D632E8">
      <w:pPr>
        <w:rPr>
          <w:rFonts w:ascii="Times New Roman" w:hAnsi="Times New Roman" w:cs="Times New Roman"/>
          <w:sz w:val="28"/>
          <w:szCs w:val="28"/>
        </w:rPr>
      </w:pPr>
    </w:p>
    <w:sectPr w:rsidR="00BB62A3" w:rsidRPr="00D632E8" w:rsidSect="00F2179B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E2677"/>
    <w:multiLevelType w:val="hybridMultilevel"/>
    <w:tmpl w:val="A40E4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8D2"/>
    <w:rsid w:val="00057869"/>
    <w:rsid w:val="0021731B"/>
    <w:rsid w:val="003C40C4"/>
    <w:rsid w:val="005A0F2C"/>
    <w:rsid w:val="005E254C"/>
    <w:rsid w:val="0060011F"/>
    <w:rsid w:val="006368E6"/>
    <w:rsid w:val="007D402D"/>
    <w:rsid w:val="009466EB"/>
    <w:rsid w:val="00A223C9"/>
    <w:rsid w:val="00BB62A3"/>
    <w:rsid w:val="00BD113B"/>
    <w:rsid w:val="00C24317"/>
    <w:rsid w:val="00C328D2"/>
    <w:rsid w:val="00C44B35"/>
    <w:rsid w:val="00C623AC"/>
    <w:rsid w:val="00C758D8"/>
    <w:rsid w:val="00CA22BF"/>
    <w:rsid w:val="00CF2B28"/>
    <w:rsid w:val="00D47CF2"/>
    <w:rsid w:val="00D632E8"/>
    <w:rsid w:val="00F160C9"/>
    <w:rsid w:val="00F2179B"/>
    <w:rsid w:val="00FD51C5"/>
    <w:rsid w:val="00FE0F8C"/>
    <w:rsid w:val="00FF1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8D2"/>
  </w:style>
  <w:style w:type="paragraph" w:styleId="1">
    <w:name w:val="heading 1"/>
    <w:basedOn w:val="a"/>
    <w:next w:val="a"/>
    <w:link w:val="10"/>
    <w:qFormat/>
    <w:rsid w:val="00F160C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C328D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1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32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8D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C75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">
    <w:name w:val="Just"/>
    <w:rsid w:val="00C758D8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C243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7">
    <w:name w:val="Основной текст Знак"/>
    <w:basedOn w:val="a0"/>
    <w:link w:val="a6"/>
    <w:semiHidden/>
    <w:rsid w:val="00C2431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10">
    <w:name w:val="Заголовок 1 Знак"/>
    <w:basedOn w:val="a0"/>
    <w:link w:val="1"/>
    <w:rsid w:val="00F160C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Normal (Web)"/>
    <w:basedOn w:val="a"/>
    <w:unhideWhenUsed/>
    <w:rsid w:val="00BB62A3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9">
    <w:name w:val="Strong"/>
    <w:basedOn w:val="a0"/>
    <w:qFormat/>
    <w:rsid w:val="00BB62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94619-5916-4F61-B253-8E653FB79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3215</Words>
  <Characters>18330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2013-12-02T10:18:00Z</cp:lastPrinted>
  <dcterms:created xsi:type="dcterms:W3CDTF">2013-10-18T11:44:00Z</dcterms:created>
  <dcterms:modified xsi:type="dcterms:W3CDTF">2013-12-05T08:37:00Z</dcterms:modified>
</cp:coreProperties>
</file>