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7C" w:rsidRDefault="003B3C7C" w:rsidP="003B3C7C">
      <w:pPr>
        <w:tabs>
          <w:tab w:val="left" w:pos="3945"/>
        </w:tabs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/>
          <w:lang w:val="uk-UA"/>
        </w:rPr>
      </w:pPr>
    </w:p>
    <w:p w:rsidR="003B3C7C" w:rsidRPr="00DC35D9" w:rsidRDefault="003B3C7C" w:rsidP="003B3C7C">
      <w:pPr>
        <w:pStyle w:val="basicparagraph"/>
        <w:spacing w:line="195" w:lineRule="atLeast"/>
        <w:jc w:val="both"/>
        <w:rPr>
          <w:b/>
          <w:sz w:val="28"/>
          <w:szCs w:val="28"/>
        </w:rPr>
      </w:pPr>
      <w:r>
        <w:rPr>
          <w:rStyle w:val="a3"/>
          <w:b/>
          <w:sz w:val="28"/>
          <w:szCs w:val="28"/>
          <w:lang w:val="uk-UA"/>
        </w:rPr>
        <w:t>А</w:t>
      </w:r>
      <w:r w:rsidRPr="00DC35D9">
        <w:rPr>
          <w:rStyle w:val="a3"/>
          <w:b/>
          <w:sz w:val="28"/>
          <w:szCs w:val="28"/>
          <w:lang w:val="uk-UA"/>
        </w:rPr>
        <w:t xml:space="preserve">наліз регуляторного впливу проекту рішення </w:t>
      </w:r>
      <w:r>
        <w:rPr>
          <w:rStyle w:val="a3"/>
          <w:b/>
          <w:sz w:val="28"/>
          <w:szCs w:val="28"/>
          <w:lang w:val="uk-UA"/>
        </w:rPr>
        <w:t>Бубнівської</w:t>
      </w:r>
      <w:r w:rsidRPr="00DC35D9">
        <w:rPr>
          <w:rStyle w:val="a3"/>
          <w:b/>
          <w:sz w:val="28"/>
          <w:szCs w:val="28"/>
          <w:lang w:val="uk-UA"/>
        </w:rPr>
        <w:t xml:space="preserve"> сільської  ради «Про затвердження ставок земельного податку </w:t>
      </w:r>
      <w:r>
        <w:rPr>
          <w:rStyle w:val="a3"/>
          <w:b/>
          <w:sz w:val="28"/>
          <w:szCs w:val="28"/>
          <w:lang w:val="uk-UA"/>
        </w:rPr>
        <w:t xml:space="preserve"> в населених пунктах сільської ради</w:t>
      </w:r>
      <w:r w:rsidRPr="00DC35D9">
        <w:rPr>
          <w:rStyle w:val="a3"/>
          <w:b/>
          <w:sz w:val="28"/>
          <w:szCs w:val="28"/>
          <w:lang w:val="uk-UA"/>
        </w:rPr>
        <w:t xml:space="preserve"> »</w:t>
      </w:r>
    </w:p>
    <w:p w:rsidR="00740B28" w:rsidRPr="00565803" w:rsidRDefault="003B3C7C" w:rsidP="00740B28">
      <w:pPr>
        <w:rPr>
          <w:sz w:val="28"/>
          <w:szCs w:val="28"/>
          <w:lang w:val="uk-UA"/>
        </w:rPr>
      </w:pPr>
      <w:r w:rsidRPr="00C00B77">
        <w:rPr>
          <w:rStyle w:val="a3"/>
          <w:sz w:val="28"/>
          <w:szCs w:val="28"/>
          <w:lang w:val="uk-UA"/>
        </w:rPr>
        <w:t> </w:t>
      </w:r>
      <w:r w:rsidR="00740B28">
        <w:rPr>
          <w:sz w:val="28"/>
          <w:szCs w:val="28"/>
          <w:lang w:val="uk-UA"/>
        </w:rPr>
        <w:t xml:space="preserve">Регуляторний орган: </w:t>
      </w:r>
      <w:proofErr w:type="spellStart"/>
      <w:r w:rsidR="00740B28">
        <w:rPr>
          <w:sz w:val="28"/>
          <w:szCs w:val="28"/>
          <w:lang w:val="uk-UA"/>
        </w:rPr>
        <w:t>Бубнівська</w:t>
      </w:r>
      <w:proofErr w:type="spellEnd"/>
      <w:r w:rsidR="00740B28" w:rsidRPr="00565803">
        <w:rPr>
          <w:sz w:val="28"/>
          <w:szCs w:val="28"/>
          <w:lang w:val="uk-UA"/>
        </w:rPr>
        <w:t xml:space="preserve"> сільська рада</w:t>
      </w:r>
    </w:p>
    <w:p w:rsidR="00740B28" w:rsidRPr="00565803" w:rsidRDefault="00740B28" w:rsidP="00740B28">
      <w:pPr>
        <w:rPr>
          <w:sz w:val="28"/>
          <w:szCs w:val="28"/>
          <w:lang w:val="uk-UA"/>
        </w:rPr>
      </w:pPr>
      <w:r w:rsidRPr="00565803">
        <w:rPr>
          <w:sz w:val="28"/>
          <w:szCs w:val="28"/>
          <w:lang w:val="uk-UA"/>
        </w:rPr>
        <w:t>Розробник документ</w:t>
      </w:r>
      <w:r>
        <w:rPr>
          <w:sz w:val="28"/>
          <w:szCs w:val="28"/>
          <w:lang w:val="uk-UA"/>
        </w:rPr>
        <w:t xml:space="preserve">а: </w:t>
      </w:r>
      <w:proofErr w:type="spellStart"/>
      <w:r>
        <w:rPr>
          <w:sz w:val="28"/>
          <w:szCs w:val="28"/>
          <w:lang w:val="uk-UA"/>
        </w:rPr>
        <w:t>Бубнівська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740B28" w:rsidRPr="00565803" w:rsidRDefault="00740B28" w:rsidP="00740B28">
      <w:pPr>
        <w:rPr>
          <w:sz w:val="28"/>
          <w:szCs w:val="28"/>
          <w:lang w:val="uk-UA"/>
        </w:rPr>
      </w:pPr>
      <w:r w:rsidRPr="00565803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ідальна особа: </w:t>
      </w:r>
      <w:proofErr w:type="spellStart"/>
      <w:r>
        <w:rPr>
          <w:sz w:val="28"/>
          <w:szCs w:val="28"/>
          <w:lang w:val="uk-UA"/>
        </w:rPr>
        <w:t>Козій</w:t>
      </w:r>
      <w:proofErr w:type="spellEnd"/>
      <w:r>
        <w:rPr>
          <w:sz w:val="28"/>
          <w:szCs w:val="28"/>
          <w:lang w:val="uk-UA"/>
        </w:rPr>
        <w:t xml:space="preserve"> В.І.. – спеціаліст-землевпорядник сільської ради</w:t>
      </w:r>
    </w:p>
    <w:p w:rsidR="00740B28" w:rsidRPr="00565803" w:rsidRDefault="00740B28" w:rsidP="00740B2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Контактний телефон: 97-3-</w:t>
      </w:r>
      <w:r w:rsidRPr="00565803">
        <w:rPr>
          <w:sz w:val="28"/>
          <w:szCs w:val="28"/>
          <w:lang w:val="uk-UA"/>
        </w:rPr>
        <w:t>31</w:t>
      </w:r>
    </w:p>
    <w:p w:rsidR="003B3C7C" w:rsidRPr="00740B28" w:rsidRDefault="003B3C7C" w:rsidP="003B3C7C">
      <w:pPr>
        <w:pStyle w:val="basicparagraph"/>
        <w:spacing w:line="195" w:lineRule="atLeast"/>
        <w:jc w:val="both"/>
        <w:rPr>
          <w:sz w:val="28"/>
          <w:szCs w:val="28"/>
          <w:lang w:val="uk-UA"/>
        </w:rPr>
      </w:pP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>1. Проблема, яку передбачається розв’язати шляхом державного регулювання.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</w:rPr>
      </w:pPr>
      <w:r w:rsidRPr="00C00B77">
        <w:rPr>
          <w:rStyle w:val="a3"/>
          <w:spacing w:val="2"/>
          <w:sz w:val="28"/>
          <w:szCs w:val="28"/>
          <w:lang w:val="uk-UA"/>
        </w:rPr>
        <w:t>Проблема визначення на законних підставах розміру земельного податку для сплати юридичними та фізичними особами за земельні ділянки, розта</w:t>
      </w:r>
      <w:r>
        <w:rPr>
          <w:rStyle w:val="a3"/>
          <w:spacing w:val="2"/>
          <w:sz w:val="28"/>
          <w:szCs w:val="28"/>
          <w:lang w:val="uk-UA"/>
        </w:rPr>
        <w:t xml:space="preserve">шовані на території сіл Бубнів, Руснів, Маркостав </w:t>
      </w:r>
      <w:r w:rsidRPr="00C00B77">
        <w:rPr>
          <w:rStyle w:val="a3"/>
          <w:spacing w:val="2"/>
          <w:sz w:val="28"/>
          <w:szCs w:val="28"/>
          <w:lang w:val="uk-UA"/>
        </w:rPr>
        <w:t>. За відсутності вищевказаного регулювання сплата податку за земельні ділянки буде недійсною та з порушенням чинного законодавства. Проблема є дуже важливою, бо розміри ставок земельного податку вплив</w:t>
      </w:r>
      <w:r>
        <w:rPr>
          <w:rStyle w:val="a3"/>
          <w:spacing w:val="2"/>
          <w:sz w:val="28"/>
          <w:szCs w:val="28"/>
          <w:lang w:val="uk-UA"/>
        </w:rPr>
        <w:t xml:space="preserve">ають на надходження до  сільського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бюджету. Водночас, затвердженні ставки земельного податку будуть мати позитивний вплив на ефективне використання землі на території вищезазначених сіл. Підставою для здійснення регулювання зазначеного питання є пункт 35 частини першої статті 26 Закону України "Про місцеве самоврядування в </w:t>
      </w:r>
      <w:proofErr w:type="spellStart"/>
      <w:r w:rsidRPr="00C00B77">
        <w:rPr>
          <w:rStyle w:val="a3"/>
          <w:spacing w:val="2"/>
          <w:sz w:val="28"/>
          <w:szCs w:val="28"/>
          <w:lang w:val="uk-UA"/>
        </w:rPr>
        <w:t>Україні”</w:t>
      </w:r>
      <w:proofErr w:type="spellEnd"/>
      <w:r w:rsidRPr="00C00B77">
        <w:rPr>
          <w:rStyle w:val="a3"/>
          <w:spacing w:val="2"/>
          <w:sz w:val="28"/>
          <w:szCs w:val="28"/>
          <w:lang w:val="uk-UA"/>
        </w:rPr>
        <w:t>, стаття 275 Податкового кодексу України. Відповідно до вищевказаних законодавчих актів проблема не може бути розв’язана за допомогою ринкових механізмів. В результаті прийняття запропонованого регуляторного акту юридичні та фізичні особи, як суб’єкти господарювання, мають законні підстави для сплат</w:t>
      </w:r>
      <w:r>
        <w:rPr>
          <w:rStyle w:val="a3"/>
          <w:spacing w:val="2"/>
          <w:sz w:val="28"/>
          <w:szCs w:val="28"/>
          <w:lang w:val="uk-UA"/>
        </w:rPr>
        <w:t xml:space="preserve">и земельного податку до сільського 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бюджету.</w:t>
      </w: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>2. Цілі державного регулювання.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</w:rPr>
      </w:pPr>
      <w:r w:rsidRPr="00C00B77">
        <w:rPr>
          <w:rStyle w:val="a3"/>
          <w:spacing w:val="2"/>
          <w:sz w:val="28"/>
          <w:szCs w:val="28"/>
          <w:lang w:val="uk-UA"/>
        </w:rPr>
        <w:t xml:space="preserve">Метою регулювання є </w:t>
      </w:r>
      <w:r>
        <w:rPr>
          <w:rStyle w:val="a3"/>
          <w:spacing w:val="2"/>
          <w:sz w:val="28"/>
          <w:szCs w:val="28"/>
          <w:lang w:val="uk-UA"/>
        </w:rPr>
        <w:t>встановлення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ставок земельного податку в насел</w:t>
      </w:r>
      <w:r>
        <w:rPr>
          <w:rStyle w:val="a3"/>
          <w:spacing w:val="2"/>
          <w:sz w:val="28"/>
          <w:szCs w:val="28"/>
          <w:lang w:val="uk-UA"/>
        </w:rPr>
        <w:t xml:space="preserve">ених пунктах Бубнівської сільської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ради, в яких не проведено нормативну грошову оцінку землі, а також з</w:t>
      </w:r>
      <w:r>
        <w:rPr>
          <w:rStyle w:val="a3"/>
          <w:spacing w:val="2"/>
          <w:sz w:val="28"/>
          <w:szCs w:val="28"/>
          <w:lang w:val="uk-UA"/>
        </w:rPr>
        <w:t xml:space="preserve">більшення надходжень до сільського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бюджету від плати за землю.</w:t>
      </w: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>3. Альтернативні способи досягнення цілі.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  <w:lang w:val="uk-UA"/>
        </w:rPr>
      </w:pPr>
      <w:r w:rsidRPr="00C00B77">
        <w:rPr>
          <w:rStyle w:val="a3"/>
          <w:spacing w:val="2"/>
          <w:sz w:val="28"/>
          <w:szCs w:val="28"/>
          <w:lang w:val="uk-UA"/>
        </w:rPr>
        <w:lastRenderedPageBreak/>
        <w:t xml:space="preserve">Іншим способом досягнення вказаної цілі державного регулювання є проведення грошової оцінки земельних ділянок, що </w:t>
      </w:r>
      <w:r>
        <w:rPr>
          <w:rStyle w:val="a3"/>
          <w:spacing w:val="2"/>
          <w:sz w:val="28"/>
          <w:szCs w:val="28"/>
          <w:lang w:val="uk-UA"/>
        </w:rPr>
        <w:t xml:space="preserve">розташовані на території сільської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ради. На даний момент, у зв’яз</w:t>
      </w:r>
      <w:r>
        <w:rPr>
          <w:rStyle w:val="a3"/>
          <w:spacing w:val="2"/>
          <w:sz w:val="28"/>
          <w:szCs w:val="28"/>
          <w:lang w:val="uk-UA"/>
        </w:rPr>
        <w:t xml:space="preserve">ку з обмеженістю коштів сільського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бюджету, проведення нормативно-грошової оцінки земельних ділянок, що розташован</w:t>
      </w:r>
      <w:r>
        <w:rPr>
          <w:rStyle w:val="a3"/>
          <w:spacing w:val="2"/>
          <w:sz w:val="28"/>
          <w:szCs w:val="28"/>
          <w:lang w:val="uk-UA"/>
        </w:rPr>
        <w:t xml:space="preserve">і на території  Бубнівської  сільської </w:t>
      </w:r>
      <w:r w:rsidRPr="00C00B77">
        <w:rPr>
          <w:rStyle w:val="a3"/>
          <w:spacing w:val="2"/>
          <w:sz w:val="28"/>
          <w:szCs w:val="28"/>
          <w:lang w:val="uk-UA"/>
        </w:rPr>
        <w:t>ради, є неможливим.</w:t>
      </w: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>4.  Механізм, який застосовується для розв’язання проблем і відповідні заходи.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</w:rPr>
      </w:pPr>
      <w:r w:rsidRPr="00C00B77">
        <w:rPr>
          <w:rStyle w:val="a3"/>
          <w:spacing w:val="2"/>
          <w:sz w:val="28"/>
          <w:szCs w:val="28"/>
          <w:lang w:val="uk-UA"/>
        </w:rPr>
        <w:t xml:space="preserve">Для розв‘язання вищезазначеної проблеми застосовується механізм, передбачений статтею 275 Податкового кодексу України. А саме: ставки податку за земельні ділянки </w:t>
      </w:r>
      <w:r>
        <w:rPr>
          <w:rStyle w:val="a3"/>
          <w:spacing w:val="2"/>
          <w:sz w:val="28"/>
          <w:szCs w:val="28"/>
          <w:lang w:val="uk-UA"/>
        </w:rPr>
        <w:t xml:space="preserve">на території  Бубнівської сільської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ради, нормативну грошову оцінку яких не проведено, встановлюються у розмірі відповідно до групи населених пунктів з чисельністю населення до</w:t>
      </w:r>
      <w:r>
        <w:rPr>
          <w:rStyle w:val="a3"/>
          <w:spacing w:val="2"/>
          <w:sz w:val="28"/>
          <w:szCs w:val="28"/>
          <w:lang w:val="uk-UA"/>
        </w:rPr>
        <w:t xml:space="preserve"> 3 тисяч осіб, що становить 0,48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гривні за </w:t>
      </w:r>
      <w:smartTag w:uri="urn:schemas-microsoft-com:office:smarttags" w:element="metricconverter">
        <w:smartTagPr>
          <w:attr w:name="ProductID" w:val="1 кв. метр"/>
        </w:smartTagPr>
        <w:r w:rsidRPr="00C00B77">
          <w:rPr>
            <w:rStyle w:val="a3"/>
            <w:spacing w:val="2"/>
            <w:sz w:val="28"/>
            <w:szCs w:val="28"/>
            <w:lang w:val="uk-UA"/>
          </w:rPr>
          <w:t>1 кв. метр</w:t>
        </w:r>
      </w:smartTag>
      <w:r w:rsidRPr="00C00B77">
        <w:rPr>
          <w:rStyle w:val="a3"/>
          <w:spacing w:val="2"/>
          <w:sz w:val="28"/>
          <w:szCs w:val="28"/>
          <w:lang w:val="uk-UA"/>
        </w:rPr>
        <w:t>.</w:t>
      </w: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 xml:space="preserve">5. </w:t>
      </w:r>
      <w:proofErr w:type="spellStart"/>
      <w:r w:rsidRPr="00DC35D9">
        <w:rPr>
          <w:rStyle w:val="a3"/>
          <w:b/>
          <w:spacing w:val="2"/>
          <w:sz w:val="28"/>
          <w:szCs w:val="28"/>
          <w:lang w:val="uk-UA"/>
        </w:rPr>
        <w:t>Обгрунтування</w:t>
      </w:r>
      <w:proofErr w:type="spellEnd"/>
      <w:r w:rsidRPr="00DC35D9">
        <w:rPr>
          <w:rStyle w:val="a3"/>
          <w:b/>
          <w:spacing w:val="2"/>
          <w:sz w:val="28"/>
          <w:szCs w:val="28"/>
          <w:lang w:val="uk-UA"/>
        </w:rPr>
        <w:t xml:space="preserve"> можливості досягнення цілей.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</w:rPr>
      </w:pPr>
      <w:r w:rsidRPr="00C00B77">
        <w:rPr>
          <w:rStyle w:val="a3"/>
          <w:spacing w:val="2"/>
          <w:sz w:val="28"/>
          <w:szCs w:val="28"/>
          <w:lang w:val="uk-UA"/>
        </w:rPr>
        <w:t xml:space="preserve">Перевагою в </w:t>
      </w:r>
      <w:proofErr w:type="spellStart"/>
      <w:r w:rsidRPr="00C00B77">
        <w:rPr>
          <w:rStyle w:val="a3"/>
          <w:spacing w:val="2"/>
          <w:sz w:val="28"/>
          <w:szCs w:val="28"/>
          <w:lang w:val="uk-UA"/>
        </w:rPr>
        <w:t>обгрунтуванні</w:t>
      </w:r>
      <w:proofErr w:type="spellEnd"/>
      <w:r w:rsidRPr="00C00B77">
        <w:rPr>
          <w:rStyle w:val="a3"/>
          <w:spacing w:val="2"/>
          <w:sz w:val="28"/>
          <w:szCs w:val="28"/>
          <w:lang w:val="uk-UA"/>
        </w:rPr>
        <w:t xml:space="preserve"> можливості досягнення цілей є нарахування земельного податку господарюючим суб‘єктам за кожну земельну ділянку та визначення обсягу витрат, пов‘язаних зі сплатою за землю в ході своєї господарської діяльності. Недоліки – витрати землекористувачів за користування земельними ділянками. Прийняття вищезазначеного рішення передбачає досягнення мети, що спричинить з</w:t>
      </w:r>
      <w:r>
        <w:rPr>
          <w:rStyle w:val="a3"/>
          <w:spacing w:val="2"/>
          <w:sz w:val="28"/>
          <w:szCs w:val="28"/>
          <w:lang w:val="uk-UA"/>
        </w:rPr>
        <w:t xml:space="preserve">більшення надходжень до сільського 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бюджету від плати за землю. Контроль за дотриманням вимог регуляторного акту здійснюватиметься відповідно до чинного законодавства.</w:t>
      </w: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>6. Визначення очікуваних результатів прийняття акту.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</w:rPr>
      </w:pPr>
      <w:r w:rsidRPr="00C00B77">
        <w:rPr>
          <w:rStyle w:val="a3"/>
          <w:spacing w:val="2"/>
          <w:sz w:val="28"/>
          <w:szCs w:val="28"/>
          <w:lang w:val="uk-UA"/>
        </w:rPr>
        <w:t>З прийняттям даного рішення упорядковується механізм встановлення ставок земельного податку та здійснюються надходження від плати за землю в строки, визначенні чинним законодавством.</w:t>
      </w: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>7. Обґрунтування терміну дії регуляторного акту.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</w:rPr>
      </w:pPr>
      <w:r w:rsidRPr="00C00B77">
        <w:rPr>
          <w:rStyle w:val="a3"/>
          <w:spacing w:val="2"/>
          <w:sz w:val="28"/>
          <w:szCs w:val="28"/>
          <w:lang w:val="uk-UA"/>
        </w:rPr>
        <w:t>Термін дії запропонованого прое</w:t>
      </w:r>
      <w:r>
        <w:rPr>
          <w:rStyle w:val="a3"/>
          <w:spacing w:val="2"/>
          <w:sz w:val="28"/>
          <w:szCs w:val="28"/>
          <w:lang w:val="uk-UA"/>
        </w:rPr>
        <w:t xml:space="preserve">кту рішення Бубнівської сільської </w:t>
      </w:r>
      <w:r w:rsidRPr="00C00B77">
        <w:rPr>
          <w:rStyle w:val="a3"/>
          <w:spacing w:val="2"/>
          <w:sz w:val="28"/>
          <w:szCs w:val="28"/>
          <w:lang w:val="uk-UA"/>
        </w:rPr>
        <w:t>ради встановлюється строком на 1 рік (на 201</w:t>
      </w:r>
      <w:r>
        <w:rPr>
          <w:rStyle w:val="a3"/>
          <w:spacing w:val="2"/>
          <w:sz w:val="28"/>
          <w:szCs w:val="28"/>
          <w:lang w:val="uk-UA"/>
        </w:rPr>
        <w:t>2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рік), з можливістю внесення до нього змін чи скасування його у разі зміни чинного законодавства та з інших поважних причин або продовження його строку дії.</w:t>
      </w: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>8. Показники результативності акту.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</w:rPr>
      </w:pPr>
      <w:r w:rsidRPr="00C00B77">
        <w:rPr>
          <w:rStyle w:val="a3"/>
          <w:spacing w:val="5"/>
          <w:sz w:val="28"/>
          <w:szCs w:val="28"/>
          <w:lang w:val="uk-UA"/>
        </w:rPr>
        <w:t xml:space="preserve">Показники результативності даного регуляторного акту це – розмір надходжень від земельного податку; кількість суб’єктів господарювання, </w:t>
      </w:r>
      <w:r w:rsidRPr="00C00B77">
        <w:rPr>
          <w:rStyle w:val="a3"/>
          <w:spacing w:val="5"/>
          <w:sz w:val="28"/>
          <w:szCs w:val="28"/>
          <w:lang w:val="uk-UA"/>
        </w:rPr>
        <w:lastRenderedPageBreak/>
        <w:t>на яких поширюватиметься дія рішення; рівень поінформованості суб’єктів господарювання з основних положень рішення; ефективне використання земельних ділянок.</w:t>
      </w:r>
    </w:p>
    <w:p w:rsidR="003B3C7C" w:rsidRPr="00DC35D9" w:rsidRDefault="003B3C7C" w:rsidP="003B3C7C">
      <w:pPr>
        <w:pStyle w:val="basicparagraph"/>
        <w:spacing w:line="195" w:lineRule="atLeast"/>
        <w:ind w:firstLine="227"/>
        <w:jc w:val="both"/>
        <w:rPr>
          <w:b/>
          <w:sz w:val="28"/>
          <w:szCs w:val="28"/>
        </w:rPr>
      </w:pPr>
      <w:r w:rsidRPr="00DC35D9">
        <w:rPr>
          <w:rStyle w:val="a3"/>
          <w:b/>
          <w:spacing w:val="2"/>
          <w:sz w:val="28"/>
          <w:szCs w:val="28"/>
          <w:lang w:val="uk-UA"/>
        </w:rPr>
        <w:t>9. Визначення заходів, за допомогою яких буде здійснюватися відстеження результативності регуляторного акту.</w:t>
      </w:r>
    </w:p>
    <w:p w:rsidR="003B3C7C" w:rsidRPr="00C00B77" w:rsidRDefault="003B3C7C" w:rsidP="003B3C7C">
      <w:pPr>
        <w:pStyle w:val="basicparagraph"/>
        <w:spacing w:line="195" w:lineRule="atLeast"/>
        <w:ind w:firstLine="227"/>
        <w:jc w:val="both"/>
        <w:rPr>
          <w:sz w:val="28"/>
          <w:szCs w:val="28"/>
        </w:rPr>
      </w:pPr>
      <w:r w:rsidRPr="00C00B77">
        <w:rPr>
          <w:rStyle w:val="a3"/>
          <w:spacing w:val="2"/>
          <w:sz w:val="28"/>
          <w:szCs w:val="28"/>
          <w:lang w:val="uk-UA"/>
        </w:rPr>
        <w:t>Відстеження результативності регуляторного акту буде здійснюватися шляхо</w:t>
      </w:r>
      <w:r>
        <w:rPr>
          <w:rStyle w:val="a3"/>
          <w:spacing w:val="2"/>
          <w:sz w:val="28"/>
          <w:szCs w:val="28"/>
          <w:lang w:val="uk-UA"/>
        </w:rPr>
        <w:t>м аналізу надходжень до сільського</w:t>
      </w:r>
      <w:r w:rsidRPr="00C00B77">
        <w:rPr>
          <w:rStyle w:val="a3"/>
          <w:spacing w:val="2"/>
          <w:sz w:val="28"/>
          <w:szCs w:val="28"/>
          <w:lang w:val="uk-UA"/>
        </w:rPr>
        <w:t xml:space="preserve"> бюджету з плати за землю. Стосовно даного регуляторного акту послідовно здійснюватиметься базове та повторне відстеження його результативності шляхом використання статистичних та аналітичних даних.</w:t>
      </w:r>
    </w:p>
    <w:p w:rsidR="003B3C7C" w:rsidRDefault="003B3C7C" w:rsidP="003B3C7C">
      <w:pPr>
        <w:pStyle w:val="basicparagraph"/>
        <w:spacing w:line="195" w:lineRule="atLeast"/>
        <w:ind w:left="360"/>
        <w:jc w:val="both"/>
        <w:rPr>
          <w:rStyle w:val="a3"/>
          <w:spacing w:val="2"/>
          <w:sz w:val="28"/>
          <w:szCs w:val="28"/>
          <w:lang w:val="uk-UA"/>
        </w:rPr>
      </w:pPr>
    </w:p>
    <w:p w:rsidR="003B3C7C" w:rsidRDefault="003B3C7C" w:rsidP="003B3C7C">
      <w:pPr>
        <w:pStyle w:val="basicparagraph"/>
        <w:spacing w:line="195" w:lineRule="atLeast"/>
        <w:ind w:left="360"/>
        <w:jc w:val="both"/>
        <w:rPr>
          <w:rStyle w:val="a3"/>
          <w:spacing w:val="2"/>
          <w:sz w:val="28"/>
          <w:szCs w:val="28"/>
          <w:lang w:val="uk-UA"/>
        </w:rPr>
      </w:pPr>
      <w:r>
        <w:rPr>
          <w:rStyle w:val="a3"/>
          <w:spacing w:val="2"/>
          <w:sz w:val="28"/>
          <w:szCs w:val="28"/>
          <w:lang w:val="uk-UA"/>
        </w:rPr>
        <w:t xml:space="preserve">    Підготували :                   О.Л. Головенко – секретар сільської ради</w:t>
      </w:r>
    </w:p>
    <w:p w:rsidR="003B3C7C" w:rsidRDefault="003B3C7C" w:rsidP="003B3C7C">
      <w:pPr>
        <w:pStyle w:val="basicparagraph"/>
        <w:spacing w:line="195" w:lineRule="atLeast"/>
        <w:ind w:left="360"/>
        <w:jc w:val="both"/>
        <w:rPr>
          <w:rStyle w:val="a3"/>
          <w:spacing w:val="2"/>
          <w:sz w:val="28"/>
          <w:szCs w:val="28"/>
          <w:lang w:val="uk-UA"/>
        </w:rPr>
      </w:pPr>
      <w:r>
        <w:rPr>
          <w:rStyle w:val="a3"/>
          <w:spacing w:val="2"/>
          <w:sz w:val="28"/>
          <w:szCs w:val="28"/>
          <w:lang w:val="uk-UA"/>
        </w:rPr>
        <w:t xml:space="preserve">                                              В</w:t>
      </w:r>
      <w:r w:rsidR="00162855">
        <w:rPr>
          <w:rStyle w:val="a3"/>
          <w:spacing w:val="2"/>
          <w:sz w:val="28"/>
          <w:szCs w:val="28"/>
          <w:lang w:val="uk-UA"/>
        </w:rPr>
        <w:t xml:space="preserve">.І. </w:t>
      </w:r>
      <w:proofErr w:type="spellStart"/>
      <w:r w:rsidR="00162855">
        <w:rPr>
          <w:rStyle w:val="a3"/>
          <w:spacing w:val="2"/>
          <w:sz w:val="28"/>
          <w:szCs w:val="28"/>
          <w:lang w:val="uk-UA"/>
        </w:rPr>
        <w:t>Козій</w:t>
      </w:r>
      <w:proofErr w:type="spellEnd"/>
      <w:r w:rsidR="00162855">
        <w:rPr>
          <w:rStyle w:val="a3"/>
          <w:spacing w:val="2"/>
          <w:sz w:val="28"/>
          <w:szCs w:val="28"/>
          <w:lang w:val="uk-UA"/>
        </w:rPr>
        <w:t xml:space="preserve">  -  землевпорядник с /</w:t>
      </w:r>
      <w:r>
        <w:rPr>
          <w:rStyle w:val="a3"/>
          <w:spacing w:val="2"/>
          <w:sz w:val="28"/>
          <w:szCs w:val="28"/>
          <w:lang w:val="uk-UA"/>
        </w:rPr>
        <w:t>ради</w:t>
      </w:r>
    </w:p>
    <w:p w:rsidR="003B3C7C" w:rsidRDefault="003B3C7C" w:rsidP="003B3C7C">
      <w:pPr>
        <w:pStyle w:val="basicparagraph"/>
        <w:spacing w:line="195" w:lineRule="atLeast"/>
        <w:ind w:left="360"/>
        <w:jc w:val="both"/>
        <w:rPr>
          <w:rStyle w:val="a3"/>
          <w:spacing w:val="2"/>
          <w:sz w:val="28"/>
          <w:szCs w:val="28"/>
          <w:lang w:val="uk-UA"/>
        </w:rPr>
      </w:pPr>
    </w:p>
    <w:p w:rsidR="003B3C7C" w:rsidRDefault="003B3C7C" w:rsidP="003B3C7C">
      <w:pPr>
        <w:pStyle w:val="basicparagraph"/>
        <w:spacing w:line="195" w:lineRule="atLeast"/>
        <w:ind w:left="360"/>
        <w:jc w:val="both"/>
        <w:rPr>
          <w:rStyle w:val="a3"/>
          <w:spacing w:val="2"/>
          <w:sz w:val="28"/>
          <w:szCs w:val="28"/>
          <w:lang w:val="uk-UA"/>
        </w:rPr>
      </w:pPr>
    </w:p>
    <w:p w:rsidR="003B3C7C" w:rsidRDefault="003B3C7C" w:rsidP="003B3C7C">
      <w:pPr>
        <w:pStyle w:val="basicparagraph"/>
        <w:spacing w:line="195" w:lineRule="atLeast"/>
        <w:ind w:left="360"/>
        <w:jc w:val="both"/>
        <w:rPr>
          <w:rStyle w:val="a3"/>
          <w:spacing w:val="2"/>
          <w:sz w:val="28"/>
          <w:szCs w:val="28"/>
          <w:lang w:val="uk-UA"/>
        </w:rPr>
      </w:pPr>
    </w:p>
    <w:p w:rsidR="000E1487" w:rsidRPr="003B3C7C" w:rsidRDefault="000E1487">
      <w:pPr>
        <w:rPr>
          <w:lang w:val="uk-UA"/>
        </w:rPr>
      </w:pPr>
    </w:p>
    <w:sectPr w:rsidR="000E1487" w:rsidRPr="003B3C7C" w:rsidSect="000E1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B3C7C"/>
    <w:rsid w:val="000E1487"/>
    <w:rsid w:val="00162855"/>
    <w:rsid w:val="003B3C7C"/>
    <w:rsid w:val="00740B28"/>
    <w:rsid w:val="00C3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cparagraph">
    <w:name w:val="basicparagraph"/>
    <w:basedOn w:val="a"/>
    <w:rsid w:val="003B3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a"/>
    <w:basedOn w:val="a0"/>
    <w:rsid w:val="003B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700</Words>
  <Characters>3994</Characters>
  <Application>Microsoft Office Word</Application>
  <DocSecurity>0</DocSecurity>
  <Lines>33</Lines>
  <Paragraphs>9</Paragraphs>
  <ScaleCrop>false</ScaleCrop>
  <Company>Microsoft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2013-05-14T11:59:00Z</dcterms:created>
  <dcterms:modified xsi:type="dcterms:W3CDTF">2013-05-14T18:56:00Z</dcterms:modified>
</cp:coreProperties>
</file>