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F1" w:rsidRDefault="00D40B1F" w:rsidP="00D40B1F">
      <w:pPr>
        <w:rPr>
          <w:b/>
        </w:rPr>
      </w:pPr>
      <w:r>
        <w:br/>
      </w:r>
      <w:r>
        <w:rPr>
          <w:b/>
          <w:bCs/>
        </w:rPr>
        <w:t>Аналіз</w:t>
      </w:r>
      <w:r>
        <w:br/>
      </w:r>
      <w:r>
        <w:br/>
      </w:r>
      <w:r>
        <w:rPr>
          <w:b/>
          <w:bCs/>
        </w:rPr>
        <w:t xml:space="preserve">регуляторного впливу до проекту </w:t>
      </w:r>
      <w:proofErr w:type="spellStart"/>
      <w:r>
        <w:rPr>
          <w:b/>
          <w:bCs/>
        </w:rPr>
        <w:t>рішенняБубнівської</w:t>
      </w:r>
      <w:proofErr w:type="spellEnd"/>
      <w:r>
        <w:rPr>
          <w:b/>
          <w:bCs/>
        </w:rPr>
        <w:t xml:space="preserve"> сільської ради</w:t>
      </w:r>
      <w:r>
        <w:br/>
      </w:r>
      <w:r>
        <w:rPr>
          <w:b/>
          <w:bCs/>
        </w:rPr>
        <w:t>"Про затвердження Положення про цільовий фонд сільської ради"</w:t>
      </w:r>
      <w:r>
        <w:br/>
      </w:r>
      <w:r>
        <w:br/>
      </w:r>
      <w:r>
        <w:br/>
        <w:t>Назва регуляторного акта: "Про затвердження Положення про цільовий фонд сільської ради"</w:t>
      </w:r>
      <w:r>
        <w:br/>
      </w:r>
      <w:r>
        <w:br/>
        <w:t xml:space="preserve">Регуляторний орган: </w:t>
      </w:r>
      <w:proofErr w:type="spellStart"/>
      <w:r>
        <w:t>Бубнівська</w:t>
      </w:r>
      <w:proofErr w:type="spellEnd"/>
      <w:r>
        <w:t xml:space="preserve"> сільська рада</w:t>
      </w:r>
      <w:r>
        <w:br/>
      </w:r>
      <w:r>
        <w:br/>
        <w:t>Розробник документа: секретар сільської ради Головенко О.Л.., постійна комісія сільської ради з питань планування, місцевого бюджету, фінансів, соціально-економічного та культурного розвитку території ради, земельних відносин та охорони навколишнього середовища.</w:t>
      </w:r>
      <w:r>
        <w:br/>
      </w:r>
      <w:r>
        <w:br/>
      </w:r>
      <w:r>
        <w:br/>
        <w:t>Аналіз регуляторного впливу до проекту рішення сільської ради «Про утворення цільового фонду сільської ради" підготовлено на виконання та з дотриманням вимогами Закону України «Про засади державної регуляторної політики у сфері господарської діяльності», Методики проведення аналізу впливу регуляторного акту, затвердженої постановою Кабінету Міністрів України від 11.03.2004 року №308.</w:t>
      </w:r>
      <w:r>
        <w:br/>
      </w:r>
      <w:r>
        <w:br/>
      </w:r>
      <w:r>
        <w:br/>
      </w:r>
      <w:r>
        <w:rPr>
          <w:b/>
          <w:bCs/>
        </w:rPr>
        <w:t xml:space="preserve">1.Визначення проблеми </w:t>
      </w:r>
      <w:r>
        <w:br/>
      </w:r>
      <w:r>
        <w:br/>
      </w:r>
      <w:r>
        <w:br/>
        <w:t>Прийняття даного рішення викликане необхідністю розроблення і здійснення заходів щодо вирішення питань соціально-економічного та культурного розвитку території ради, соціального захисту населення, становлення та розвитку місцевого самоврядування, проведення різних заходів. Оскільки коштів сільського бюджету катастрофічно не вистачає, тому з метою залучення коштів фізичних і юридичних осіб, виникла необхідність створення цільового фонду у складі спеціального фонду сільської ради для акумуляції цих коштів та їх подальшого використання на цілі передбачені в положенні.</w:t>
      </w:r>
      <w:r>
        <w:br/>
      </w:r>
      <w:r>
        <w:br/>
      </w:r>
      <w:r>
        <w:br/>
      </w:r>
      <w:r>
        <w:rPr>
          <w:b/>
          <w:bCs/>
        </w:rPr>
        <w:t>2. Цілі державного регулювання</w:t>
      </w:r>
      <w:r>
        <w:t xml:space="preserve"> </w:t>
      </w:r>
      <w:r>
        <w:br/>
      </w:r>
      <w:r>
        <w:br/>
      </w:r>
      <w:r>
        <w:br/>
        <w:t>Цілями регуляторного акта є:</w:t>
      </w:r>
      <w:r>
        <w:br/>
      </w:r>
      <w:r>
        <w:br/>
        <w:t>- виконання Закону України "Про державний бюджет України на 2012 рік";</w:t>
      </w:r>
      <w:r>
        <w:br/>
      </w:r>
      <w:r>
        <w:br/>
        <w:t xml:space="preserve">- направлення додаткових коштів на здійснення програм соціально-економічного та культурного розвитку сільської ради, збільшення фінансування соціальної сфери. </w:t>
      </w:r>
      <w:r>
        <w:br/>
      </w:r>
      <w:r>
        <w:br/>
      </w:r>
      <w:r>
        <w:rPr>
          <w:b/>
          <w:bCs/>
        </w:rPr>
        <w:t>3. Визначення альтернативних способів досягнення цілей.</w:t>
      </w:r>
      <w:r>
        <w:br/>
      </w:r>
      <w:r>
        <w:lastRenderedPageBreak/>
        <w:br/>
      </w:r>
      <w:r>
        <w:br/>
        <w:t>1. Перша альтернатива – залишити дану ситуацію без змін.</w:t>
      </w:r>
      <w:r>
        <w:br/>
      </w:r>
      <w:r>
        <w:br/>
        <w:t>Дана альтернатива є неприйнятною у зв’язку з тим, що не будуть досягнуті цілі які ставить перед собою сільська рада.</w:t>
      </w:r>
      <w:r>
        <w:br/>
      </w:r>
      <w:r>
        <w:br/>
        <w:t>2. Друга альтернатива – прийняття рішення «Про затвердження Положення про цільовий фонд сільської ради».</w:t>
      </w:r>
      <w:r>
        <w:br/>
      </w:r>
      <w:r>
        <w:br/>
        <w:t>Дана альтернатива є актуальною та адекватною ситуації, що склалася та досягає завдань регулювання.</w:t>
      </w:r>
      <w:r>
        <w:br/>
      </w:r>
      <w:r>
        <w:br/>
      </w:r>
      <w:r>
        <w:br/>
      </w:r>
      <w:r>
        <w:rPr>
          <w:b/>
          <w:bCs/>
        </w:rPr>
        <w:t>4. Механізм і заходи, які забезпечать розв'язання проблеми.</w:t>
      </w:r>
      <w:r>
        <w:t xml:space="preserve"> </w:t>
      </w:r>
      <w:r>
        <w:br/>
      </w:r>
      <w:r>
        <w:br/>
        <w:t>Для розв’язання проблеми, зазначеної в розділі 1 цього Аналізу, пропонується прийняти сільською радою рішення про утворення цільового фонду.</w:t>
      </w:r>
      <w:r>
        <w:br/>
      </w:r>
      <w:r>
        <w:br/>
      </w:r>
      <w:r>
        <w:br/>
        <w:t>Рішення встановлює:</w:t>
      </w:r>
      <w:r>
        <w:br/>
      </w:r>
      <w:r>
        <w:br/>
        <w:t>1. Положення про цільовий фонд сільської ради:</w:t>
      </w:r>
      <w:r>
        <w:br/>
      </w:r>
      <w:r>
        <w:br/>
        <w:t>- порядок формування фонду;</w:t>
      </w:r>
      <w:r>
        <w:br/>
      </w:r>
      <w:r>
        <w:br/>
        <w:t>- порядок використання коштів;</w:t>
      </w:r>
      <w:r>
        <w:br/>
      </w:r>
      <w:r>
        <w:br/>
        <w:t>- порядок звітності за використання коштів;</w:t>
      </w:r>
      <w:r>
        <w:br/>
      </w:r>
      <w:r>
        <w:br/>
      </w:r>
      <w:r>
        <w:br/>
      </w:r>
      <w:r>
        <w:rPr>
          <w:b/>
          <w:bCs/>
        </w:rPr>
        <w:t>5. Обґрунтування можливостей досягнення визначених цілей</w:t>
      </w:r>
      <w:r>
        <w:br/>
      </w:r>
      <w:r>
        <w:br/>
      </w:r>
      <w:r>
        <w:br/>
        <w:t>Запровадження рішення сільської ради «Про затвердження Положення про цільовий фонд сільської ради» забезпечить високу вірогідність досягнення поставлених цілей.</w:t>
      </w:r>
      <w:r>
        <w:br/>
      </w:r>
      <w:r>
        <w:br/>
      </w:r>
      <w:r>
        <w:br/>
        <w:t xml:space="preserve">Розробка рішення </w:t>
      </w:r>
      <w:proofErr w:type="spellStart"/>
      <w:r>
        <w:t>Бубнівської</w:t>
      </w:r>
      <w:proofErr w:type="spellEnd"/>
      <w:r>
        <w:t xml:space="preserve"> сільської ради здійснюється за принципами:</w:t>
      </w:r>
      <w:r>
        <w:br/>
      </w:r>
      <w:r>
        <w:br/>
        <w:t>- законності;</w:t>
      </w:r>
      <w:r>
        <w:br/>
      </w:r>
      <w:r>
        <w:br/>
        <w:t>- гласності (відкритості та загальнодоступності);</w:t>
      </w:r>
      <w:r>
        <w:br/>
      </w:r>
      <w:r>
        <w:br/>
        <w:t>- колегіальності.</w:t>
      </w:r>
      <w:r>
        <w:br/>
      </w:r>
      <w:r>
        <w:br/>
      </w:r>
      <w:r>
        <w:br/>
      </w:r>
      <w:r>
        <w:rPr>
          <w:b/>
          <w:bCs/>
        </w:rPr>
        <w:t>6.Визначення показників результативності рішення</w:t>
      </w:r>
      <w:r>
        <w:br/>
      </w:r>
      <w:r>
        <w:br/>
      </w:r>
      <w:r>
        <w:br/>
        <w:t xml:space="preserve">Регулювання впливає на кожну з трьох базових сфер: інтереси громадян та суб'єктів господарювання котрі будуть сплачувати внески, інтереси держави , органу місцевого </w:t>
      </w:r>
      <w:r>
        <w:lastRenderedPageBreak/>
        <w:t xml:space="preserve">самоврядування. </w:t>
      </w:r>
      <w:r>
        <w:br/>
      </w:r>
      <w:r>
        <w:br/>
        <w:t>Показником результативності рішення є можливість отримати додаткові кошти та за рахунок цільового фонду покращувати матеріально-технічну базу установ, підтримувати малозабезпечені верстви населення, проводити різні заходи, тощо.</w:t>
      </w:r>
      <w:r>
        <w:br/>
      </w:r>
      <w:r>
        <w:br/>
      </w:r>
      <w:r>
        <w:br/>
      </w:r>
      <w:r>
        <w:rPr>
          <w:b/>
          <w:bCs/>
        </w:rPr>
        <w:t>7. Обґрунтування терміну дії рішення</w:t>
      </w:r>
      <w:r>
        <w:br/>
      </w:r>
      <w:r>
        <w:br/>
      </w:r>
      <w:r>
        <w:br/>
        <w:t>Строк дії зазначеного регуляторного акта не обмежений.</w:t>
      </w:r>
      <w:r>
        <w:br/>
      </w:r>
      <w:r>
        <w:br/>
      </w:r>
      <w:r>
        <w:br/>
      </w:r>
      <w:r>
        <w:rPr>
          <w:b/>
          <w:bCs/>
        </w:rPr>
        <w:t>8. Показники результативності регуляторного акту.</w:t>
      </w:r>
      <w:r>
        <w:br/>
      </w:r>
      <w:r>
        <w:br/>
      </w:r>
      <w:r>
        <w:br/>
        <w:t>Показниками результативності запропонованого проекту рішення сільської ради є додаткові надходження до спеціального фонду сільського бюджету.</w:t>
      </w:r>
      <w:r>
        <w:br/>
      </w:r>
      <w:r>
        <w:br/>
      </w:r>
      <w:r>
        <w:br/>
      </w:r>
      <w:r>
        <w:rPr>
          <w:b/>
          <w:bCs/>
        </w:rPr>
        <w:t>9. Визначення заходів відстеження результативності рішення</w:t>
      </w:r>
      <w:r>
        <w:br/>
      </w:r>
      <w:r>
        <w:br/>
      </w:r>
      <w:r>
        <w:br/>
        <w:t>Базове відстеження результативності регуляторного акта здійснюється до дня набрання ним чинності.</w:t>
      </w:r>
      <w:r>
        <w:br/>
      </w:r>
      <w:r>
        <w:br/>
        <w:t>Відстеження результативності акта буде здійснюватись раз на рік, яке буде оприлюднюватися у засобах масової інформації.</w:t>
      </w:r>
    </w:p>
    <w:p w:rsidR="00870287" w:rsidRDefault="00870287" w:rsidP="00D40B1F">
      <w:pPr>
        <w:jc w:val="both"/>
      </w:pPr>
    </w:p>
    <w:sectPr w:rsidR="00870287" w:rsidSect="0087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70BBD"/>
    <w:multiLevelType w:val="hybridMultilevel"/>
    <w:tmpl w:val="E084B9F8"/>
    <w:lvl w:ilvl="0" w:tplc="83D29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5F1"/>
    <w:rsid w:val="003D65F1"/>
    <w:rsid w:val="00870287"/>
    <w:rsid w:val="00D40B1F"/>
    <w:rsid w:val="00D9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606</Words>
  <Characters>3459</Characters>
  <Application>Microsoft Office Word</Application>
  <DocSecurity>0</DocSecurity>
  <Lines>28</Lines>
  <Paragraphs>8</Paragraphs>
  <ScaleCrop>false</ScaleCrop>
  <Company>Microsoft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2013-05-14T17:43:00Z</dcterms:created>
  <dcterms:modified xsi:type="dcterms:W3CDTF">2013-05-14T17:55:00Z</dcterms:modified>
</cp:coreProperties>
</file>