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EE" w:rsidRPr="00A835EE" w:rsidRDefault="00A835EE" w:rsidP="00A835EE">
      <w:pPr>
        <w:pStyle w:val="a3"/>
        <w:jc w:val="center"/>
        <w:rPr>
          <w:i/>
          <w:sz w:val="28"/>
          <w:szCs w:val="28"/>
        </w:rPr>
      </w:pPr>
      <w:r w:rsidRPr="00A835EE">
        <w:rPr>
          <w:rStyle w:val="a4"/>
          <w:i/>
          <w:sz w:val="28"/>
          <w:szCs w:val="28"/>
        </w:rPr>
        <w:t>Аналіз регуляторного впливу</w:t>
      </w:r>
    </w:p>
    <w:p w:rsidR="00A835EE" w:rsidRPr="00A835EE" w:rsidRDefault="00A835EE" w:rsidP="00A835E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 xml:space="preserve">проекту рішення </w:t>
      </w:r>
      <w:proofErr w:type="spellStart"/>
      <w:r w:rsidRPr="00A835EE">
        <w:rPr>
          <w:rStyle w:val="a4"/>
          <w:b w:val="0"/>
          <w:sz w:val="28"/>
          <w:szCs w:val="28"/>
        </w:rPr>
        <w:t>Оваднівської</w:t>
      </w:r>
      <w:proofErr w:type="spellEnd"/>
      <w:r w:rsidRPr="00A835EE">
        <w:rPr>
          <w:rStyle w:val="a4"/>
          <w:b w:val="0"/>
          <w:sz w:val="28"/>
          <w:szCs w:val="28"/>
        </w:rPr>
        <w:t xml:space="preserve"> сільської ради</w:t>
      </w:r>
    </w:p>
    <w:p w:rsidR="00A835EE" w:rsidRPr="00A835EE" w:rsidRDefault="00A835EE" w:rsidP="00A835EE">
      <w:pPr>
        <w:tabs>
          <w:tab w:val="left" w:pos="8292"/>
          <w:tab w:val="left" w:pos="8363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835EE"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A835EE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розмі</w:t>
      </w:r>
      <w:proofErr w:type="gramStart"/>
      <w:r w:rsidRPr="00A835E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835EE">
        <w:rPr>
          <w:rFonts w:ascii="Times New Roman" w:hAnsi="Times New Roman" w:cs="Times New Roman"/>
          <w:bCs/>
          <w:sz w:val="28"/>
          <w:szCs w:val="28"/>
        </w:rPr>
        <w:t>ів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плати  за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послуги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надаються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закладами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>Оваднівської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</w:rPr>
        <w:t>сільської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A835EE" w:rsidRPr="00A835EE" w:rsidRDefault="00A835EE" w:rsidP="00A835EE">
      <w:pPr>
        <w:tabs>
          <w:tab w:val="left" w:pos="8292"/>
          <w:tab w:val="left" w:pos="836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835EE" w:rsidRPr="00A835EE" w:rsidRDefault="00A835EE" w:rsidP="00A835EE">
      <w:pPr>
        <w:tabs>
          <w:tab w:val="left" w:pos="8292"/>
          <w:tab w:val="left" w:pos="836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5EE">
        <w:rPr>
          <w:rFonts w:ascii="Times New Roman" w:hAnsi="Times New Roman" w:cs="Times New Roman"/>
          <w:sz w:val="28"/>
          <w:szCs w:val="28"/>
          <w:lang w:val="uk-UA"/>
        </w:rPr>
        <w:t xml:space="preserve"> Згідно з Законами України від 11.09.2003 № 1160-ІУ "Про засади державної регуляторної політики у сфері господарської діяльності", від 21.05.97 № 280/97-ВР "Про місцеве самоврядування в Україні" із внесеними змінами, відповідно до постанови Кабінету Міністрів України від 12 грудня 2011 року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наказу Міністерства культури і мистецтв України, Міністерства економіки України, Міністерства фінансів України від 21 грудня 2009 року №732/306/152 «Про затвердження Порядку надання платних послуг закладами культури та мистецтв», виконкомом  сільської ради розроблено проект рішення «</w:t>
      </w:r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встановлення розмірів плати  за послуги, що надаються закладами культури  </w:t>
      </w:r>
      <w:proofErr w:type="spellStart"/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>Оваднівської</w:t>
      </w:r>
      <w:proofErr w:type="spellEnd"/>
      <w:r w:rsidRPr="00A835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Pr="00A835E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1. Проблеми, які передбачається розв’язати шляхом державного регулювання</w:t>
      </w:r>
    </w:p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sz w:val="28"/>
          <w:szCs w:val="28"/>
        </w:rPr>
      </w:pPr>
      <w:r w:rsidRPr="00A835EE">
        <w:rPr>
          <w:sz w:val="28"/>
          <w:szCs w:val="28"/>
        </w:rPr>
        <w:t xml:space="preserve">  З прийняттям Закону України « Про культуру», постанови Кабінету Міністрів України від 12 грудня 2011 року №1271 «Про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власності», з ростом  витрат на матеріально-технічне  обслуговування  закладів культури діючі тарифи не покривають витрат.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2. Цілі державного регулювання</w:t>
      </w:r>
    </w:p>
    <w:p w:rsidR="00A835EE" w:rsidRPr="00A835EE" w:rsidRDefault="00A835EE" w:rsidP="00A835E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35E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платних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тарифі</w:t>
      </w:r>
      <w:proofErr w:type="gramStart"/>
      <w:r w:rsidRPr="00A835E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835EE">
        <w:rPr>
          <w:rFonts w:ascii="Times New Roman" w:hAnsi="Times New Roman" w:cs="Times New Roman"/>
          <w:sz w:val="28"/>
          <w:szCs w:val="28"/>
        </w:rPr>
        <w:t xml:space="preserve"> на них у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культурно-освітньої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5E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35EE">
        <w:rPr>
          <w:rFonts w:ascii="Times New Roman" w:hAnsi="Times New Roman" w:cs="Times New Roman"/>
          <w:sz w:val="28"/>
          <w:szCs w:val="28"/>
        </w:rPr>
        <w:t>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3. Альтернативні способи досягнення зазначених  цілей</w:t>
      </w:r>
      <w:r w:rsidRPr="00A835EE">
        <w:rPr>
          <w:rStyle w:val="apple-converted-space"/>
          <w:sz w:val="28"/>
          <w:szCs w:val="28"/>
        </w:rPr>
        <w:t> </w:t>
      </w:r>
      <w:r w:rsidRPr="00A835EE">
        <w:rPr>
          <w:sz w:val="28"/>
          <w:szCs w:val="28"/>
        </w:rPr>
        <w:t>– відсутні.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4. Механізм,   який   пропонується   застосувати  для розв'язання проблеми, і відповідні заходи</w:t>
      </w:r>
    </w:p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sz w:val="28"/>
          <w:szCs w:val="28"/>
        </w:rPr>
      </w:pPr>
      <w:r w:rsidRPr="00A835EE">
        <w:rPr>
          <w:sz w:val="28"/>
          <w:szCs w:val="28"/>
        </w:rPr>
        <w:t>Проект даного регуляторного акту було розроблено на підставі діючих  нормативно-правових актів.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5. Можливості досягнення визначених цілей у разі прийняття регуляторного акта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sz w:val="28"/>
          <w:szCs w:val="28"/>
        </w:rPr>
        <w:lastRenderedPageBreak/>
        <w:t>Ризик впливу зовнішніх чинників на дію регуляторного акту є малоймовірним.</w:t>
      </w:r>
      <w:r w:rsidRPr="00A835EE">
        <w:rPr>
          <w:sz w:val="28"/>
          <w:szCs w:val="28"/>
        </w:rPr>
        <w:br/>
      </w:r>
      <w:r w:rsidRPr="00A835EE">
        <w:rPr>
          <w:rStyle w:val="a4"/>
          <w:b w:val="0"/>
          <w:sz w:val="28"/>
          <w:szCs w:val="28"/>
        </w:rPr>
        <w:t xml:space="preserve">        6. Очікувані результати прийняття акта</w:t>
      </w:r>
    </w:p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rStyle w:val="a4"/>
          <w:b w:val="0"/>
          <w:bCs w:val="0"/>
          <w:sz w:val="28"/>
          <w:szCs w:val="28"/>
        </w:rPr>
      </w:pPr>
      <w:r w:rsidRPr="00A835EE">
        <w:rPr>
          <w:sz w:val="28"/>
          <w:szCs w:val="28"/>
        </w:rPr>
        <w:t>Прийняття даного регуляторного акта дасть можливість збільшити надходження коштів по Будинку культури, зміцнення та покращення  матеріально-технічної бази.</w:t>
      </w:r>
    </w:p>
    <w:p w:rsidR="00A835EE" w:rsidRPr="00A835EE" w:rsidRDefault="00A835EE" w:rsidP="00A835EE">
      <w:pPr>
        <w:pStyle w:val="a3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 xml:space="preserve">                                        Таблиця вигод та витрат</w:t>
      </w:r>
    </w:p>
    <w:tbl>
      <w:tblPr>
        <w:tblpPr w:leftFromText="45" w:rightFromText="45" w:vertAnchor="text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00"/>
        <w:gridCol w:w="3313"/>
        <w:gridCol w:w="4072"/>
      </w:tblGrid>
      <w:tr w:rsidR="00A835EE" w:rsidRPr="00A835EE" w:rsidTr="00A835EE">
        <w:trPr>
          <w:tblCellSpacing w:w="0" w:type="dxa"/>
        </w:trPr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35EE" w:rsidRPr="00A835EE" w:rsidRDefault="00A835EE">
            <w:pPr>
              <w:pStyle w:val="a3"/>
              <w:jc w:val="both"/>
              <w:rPr>
                <w:sz w:val="28"/>
                <w:szCs w:val="28"/>
              </w:rPr>
            </w:pPr>
            <w:r w:rsidRPr="00A835EE">
              <w:rPr>
                <w:rStyle w:val="a4"/>
                <w:b w:val="0"/>
                <w:sz w:val="28"/>
                <w:szCs w:val="28"/>
              </w:rPr>
              <w:t>Сфера впливу</w:t>
            </w:r>
          </w:p>
        </w:tc>
        <w:tc>
          <w:tcPr>
            <w:tcW w:w="1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rStyle w:val="a4"/>
                <w:b w:val="0"/>
                <w:sz w:val="28"/>
                <w:szCs w:val="28"/>
              </w:rPr>
              <w:t>Вигоди</w:t>
            </w:r>
          </w:p>
        </w:tc>
        <w:tc>
          <w:tcPr>
            <w:tcW w:w="2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rStyle w:val="a4"/>
                <w:b w:val="0"/>
                <w:sz w:val="28"/>
                <w:szCs w:val="28"/>
              </w:rPr>
              <w:t>Витрати</w:t>
            </w:r>
          </w:p>
        </w:tc>
      </w:tr>
      <w:tr w:rsidR="00A835EE" w:rsidRPr="00A835EE" w:rsidTr="00A835EE">
        <w:trPr>
          <w:tblCellSpacing w:w="0" w:type="dxa"/>
        </w:trPr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jc w:val="both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Інтереси держави</w:t>
            </w:r>
          </w:p>
        </w:tc>
        <w:tc>
          <w:tcPr>
            <w:tcW w:w="1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Збільшення надходжень до бюджету села</w:t>
            </w:r>
          </w:p>
        </w:tc>
        <w:tc>
          <w:tcPr>
            <w:tcW w:w="2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Процедура розробки регуляторного акта (витрати робочого часу спеціалістів, пов'язані з підготуванням регуляторного акта)</w:t>
            </w:r>
          </w:p>
        </w:tc>
      </w:tr>
      <w:tr w:rsidR="00A835EE" w:rsidRPr="00A835EE" w:rsidTr="00A835EE">
        <w:trPr>
          <w:tblCellSpacing w:w="0" w:type="dxa"/>
        </w:trPr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jc w:val="both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Інтереси суб'єктів господарювання</w:t>
            </w:r>
          </w:p>
        </w:tc>
        <w:tc>
          <w:tcPr>
            <w:tcW w:w="1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 xml:space="preserve"> оперативне забезпечення  послугами  </w:t>
            </w:r>
          </w:p>
        </w:tc>
        <w:tc>
          <w:tcPr>
            <w:tcW w:w="2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При зверненні суб'єктів господарювання витрати за  послуги, передбачені тарифами по їх наданню</w:t>
            </w:r>
          </w:p>
        </w:tc>
      </w:tr>
      <w:tr w:rsidR="00A835EE" w:rsidRPr="00A835EE" w:rsidTr="00A835EE">
        <w:trPr>
          <w:tblCellSpacing w:w="0" w:type="dxa"/>
        </w:trPr>
        <w:tc>
          <w:tcPr>
            <w:tcW w:w="10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jc w:val="both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Інтереси громадян</w:t>
            </w:r>
          </w:p>
        </w:tc>
        <w:tc>
          <w:tcPr>
            <w:tcW w:w="17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оперативне забезпечення  послугами  з метою реалізації  їх прав,  свобод  і  законних інтересів</w:t>
            </w:r>
          </w:p>
        </w:tc>
        <w:tc>
          <w:tcPr>
            <w:tcW w:w="2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35EE" w:rsidRPr="00A835EE" w:rsidRDefault="00A835EE">
            <w:pPr>
              <w:pStyle w:val="a3"/>
              <w:rPr>
                <w:sz w:val="28"/>
                <w:szCs w:val="28"/>
              </w:rPr>
            </w:pPr>
            <w:r w:rsidRPr="00A835EE">
              <w:rPr>
                <w:sz w:val="28"/>
                <w:szCs w:val="28"/>
              </w:rPr>
              <w:t>При зверненні громадян з питань діяльності у  культурно-освітньої сфері, при розгляді яких можуть бути надані платні послуги, передбачені тарифами по їх наданню, надаються за бажанням особи, яка звернулась, одержати такі послуги.</w:t>
            </w:r>
          </w:p>
        </w:tc>
      </w:tr>
    </w:tbl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sz w:val="28"/>
          <w:szCs w:val="28"/>
        </w:rPr>
      </w:pP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7. Строк дії акта</w:t>
      </w:r>
    </w:p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sz w:val="28"/>
          <w:szCs w:val="28"/>
        </w:rPr>
      </w:pPr>
      <w:r w:rsidRPr="00A835EE">
        <w:rPr>
          <w:sz w:val="28"/>
          <w:szCs w:val="28"/>
        </w:rPr>
        <w:t>Термін дії запропонованого регуляторного акта - довгостроковий. За підсумками аналізу відстеження його результативності можуть вноситись відповідні зміни.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8. Показники результативності акта</w:t>
      </w:r>
    </w:p>
    <w:p w:rsidR="00A835EE" w:rsidRPr="00A835EE" w:rsidRDefault="00A835EE" w:rsidP="00A835EE">
      <w:pPr>
        <w:pStyle w:val="a3"/>
        <w:spacing w:before="150" w:beforeAutospacing="0" w:after="150" w:afterAutospacing="0"/>
        <w:ind w:right="150" w:firstLine="540"/>
        <w:jc w:val="both"/>
        <w:rPr>
          <w:sz w:val="28"/>
          <w:szCs w:val="28"/>
        </w:rPr>
      </w:pPr>
      <w:r w:rsidRPr="00A835EE">
        <w:rPr>
          <w:sz w:val="28"/>
          <w:szCs w:val="28"/>
        </w:rPr>
        <w:t>Показником результативності дії регуляторного акту є надходження коштів по Будинку культури.</w:t>
      </w:r>
    </w:p>
    <w:p w:rsidR="00A835EE" w:rsidRPr="00A835EE" w:rsidRDefault="00A835EE" w:rsidP="00A835EE">
      <w:pPr>
        <w:pStyle w:val="a3"/>
        <w:spacing w:before="0" w:beforeAutospacing="0" w:after="0" w:afterAutospacing="0"/>
        <w:ind w:right="150" w:firstLine="540"/>
        <w:jc w:val="both"/>
        <w:rPr>
          <w:sz w:val="28"/>
          <w:szCs w:val="28"/>
        </w:rPr>
      </w:pPr>
      <w:r w:rsidRPr="00A835EE">
        <w:rPr>
          <w:rStyle w:val="a4"/>
          <w:b w:val="0"/>
          <w:sz w:val="28"/>
          <w:szCs w:val="28"/>
        </w:rPr>
        <w:t>9. Заходи з відстеження результативності акта</w:t>
      </w:r>
    </w:p>
    <w:p w:rsidR="00A835EE" w:rsidRPr="00A835EE" w:rsidRDefault="00A835EE" w:rsidP="00A835EE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A835EE">
        <w:rPr>
          <w:rFonts w:ascii="Times New Roman" w:hAnsi="Times New Roman" w:cs="Times New Roman"/>
          <w:sz w:val="28"/>
          <w:szCs w:val="28"/>
          <w:lang w:val="uk-UA"/>
        </w:rPr>
        <w:t xml:space="preserve">   Базове відстеження результативності регуляторного акта буде здійснюватись до набрання чинності цим актом шляхом збору пропозицій та зауважень та їх аналізу.</w:t>
      </w:r>
    </w:p>
    <w:p w:rsidR="00A835EE" w:rsidRPr="00A835EE" w:rsidRDefault="00A835EE" w:rsidP="00A835E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5E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Повторне відстеження результативності планується  здійснити через рік з дня набрання чинності цим регуляторним актом, в результаті якого відбудеться порівняння показників базового та повторного відстежень.</w:t>
      </w:r>
    </w:p>
    <w:p w:rsidR="00A835EE" w:rsidRPr="00A835EE" w:rsidRDefault="00A835EE" w:rsidP="00A83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5EE">
        <w:rPr>
          <w:rFonts w:ascii="Times New Roman" w:hAnsi="Times New Roman" w:cs="Times New Roman"/>
          <w:sz w:val="28"/>
          <w:szCs w:val="28"/>
          <w:lang w:val="uk-UA"/>
        </w:rPr>
        <w:t xml:space="preserve">     У разі виявлення неврегульованих та проблемних моментів шляхом аналізу якісних та кількісних показників дії цього акта, ці моменти буде виправлено шляхом внесення відповідних змін.</w:t>
      </w:r>
    </w:p>
    <w:p w:rsidR="00A835EE" w:rsidRPr="00A835EE" w:rsidRDefault="00A835EE" w:rsidP="00A835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5EE">
        <w:rPr>
          <w:rFonts w:ascii="Times New Roman" w:hAnsi="Times New Roman" w:cs="Times New Roman"/>
          <w:sz w:val="28"/>
          <w:szCs w:val="28"/>
          <w:lang w:val="uk-UA"/>
        </w:rPr>
        <w:t xml:space="preserve">    Періодичні відстеження планується здійснювати раз на кожні три роки, починаючи з дня виконання заходів щодо повторного відстеження результативності цього акта.</w:t>
      </w:r>
    </w:p>
    <w:p w:rsidR="0015365E" w:rsidRPr="00A835EE" w:rsidRDefault="0015365E">
      <w:pPr>
        <w:rPr>
          <w:rFonts w:ascii="Times New Roman" w:hAnsi="Times New Roman" w:cs="Times New Roman"/>
          <w:sz w:val="28"/>
          <w:szCs w:val="28"/>
        </w:rPr>
      </w:pPr>
    </w:p>
    <w:sectPr w:rsidR="0015365E" w:rsidRPr="00A8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5EE"/>
    <w:rsid w:val="0015365E"/>
    <w:rsid w:val="00A8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A835EE"/>
  </w:style>
  <w:style w:type="character" w:styleId="a4">
    <w:name w:val="Strong"/>
    <w:basedOn w:val="a0"/>
    <w:uiPriority w:val="22"/>
    <w:qFormat/>
    <w:rsid w:val="00A835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9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2014-07-01T14:58:00Z</dcterms:created>
  <dcterms:modified xsi:type="dcterms:W3CDTF">2014-07-01T14:58:00Z</dcterms:modified>
</cp:coreProperties>
</file>